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700" w:after="200"/>
      </w:pPr>
      <w:r>
        <w:rPr>
          <w:rFonts w:ascii="Aptos" w:hAnsi="Aptos"/>
          <w:b/>
          <w:color w:val="F2A51A"/>
          <w:sz w:val="28"/>
        </w:rPr>
        <w:t>PENYATA KAEDAH</w:t>
      </w:r>
    </w:p>
    <w:p>
      <w:pPr>
        <w:spacing w:after="240"/>
      </w:pPr>
      <w:r>
        <w:rPr>
          <w:rFonts w:ascii="Aptos" w:hAnsi="Aptos"/>
          <w:b/>
          <w:color w:val="071E33"/>
          <w:sz w:val="50"/>
        </w:rPr>
        <w:t>SISTEM PEMADAMAN KEBAKARAN AGEN BERSIH</w:t>
      </w:r>
    </w:p>
    <w:p>
      <w:pPr>
        <w:spacing w:after="480"/>
      </w:pPr>
      <w:r>
        <w:rPr>
          <w:rFonts w:ascii="Aptos" w:hAnsi="Aptos"/>
          <w:b w:val="0"/>
          <w:color w:val="5E6B78"/>
          <w:sz w:val="26"/>
        </w:rPr>
        <w:t>Clean-Agent Fire Suppression System</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35"/>
            <w:shd w:fill="071E33"/>
            <w:tcMar>
              <w:top w:w="120" w:type="dxa"/>
              <w:start w:w="140" w:type="dxa"/>
              <w:bottom w:w="120" w:type="dxa"/>
              <w:end w:w="140" w:type="dxa"/>
            </w:tcMar>
            <w:vAlign w:val="center"/>
          </w:tcPr>
          <w:p>
            <w:pPr>
              <w:spacing w:after="0"/>
              <w:jc w:val="left"/>
            </w:pPr>
            <w:r>
              <w:t>Maklumat Dokumen</w:t>
            </w:r>
            <w:r>
              <w:rPr>
                <w:rFonts w:ascii="Aptos" w:hAnsi="Aptos"/>
                <w:b/>
                <w:color w:val="FFFFFF"/>
                <w:sz w:val="17"/>
              </w:rPr>
            </w:r>
          </w:p>
        </w:tc>
        <w:tc>
          <w:tcPr>
            <w:tcW w:type="dxa" w:w="6803"/>
            <w:shd w:fill="071E33"/>
            <w:tcMar>
              <w:top w:w="120" w:type="dxa"/>
              <w:start w:w="140" w:type="dxa"/>
              <w:bottom w:w="120" w:type="dxa"/>
              <w:end w:w="140" w:type="dxa"/>
            </w:tcMar>
            <w:vAlign w:val="center"/>
          </w:tcPr>
          <w:p>
            <w:pPr>
              <w:spacing w:after="0"/>
              <w:jc w:val="left"/>
            </w:pPr>
            <w:r>
              <w:t>Butiran</w:t>
            </w:r>
            <w:r>
              <w:rPr>
                <w:rFonts w:ascii="Aptos" w:hAnsi="Aptos"/>
                <w:b/>
                <w:color w:val="FFFFFF"/>
                <w:sz w:val="17"/>
              </w:rPr>
            </w:r>
          </w:p>
        </w:tc>
      </w:tr>
      <w:tr>
        <w:trPr>
          <w:cantSplit/>
        </w:trPr>
        <w:tc>
          <w:tcPr>
            <w:tcW w:type="dxa" w:w="2835"/>
            <w:tcMar>
              <w:top w:w="120" w:type="dxa"/>
              <w:start w:w="140" w:type="dxa"/>
              <w:bottom w:w="120" w:type="dxa"/>
              <w:end w:w="140" w:type="dxa"/>
            </w:tcMar>
            <w:vAlign w:val="center"/>
          </w:tcPr>
          <w:p>
            <w:pPr>
              <w:spacing w:after="0"/>
              <w:jc w:val="left"/>
            </w:pPr>
            <w:r>
              <w:t>Projek</w:t>
            </w:r>
            <w:r>
              <w:rPr>
                <w:rFonts w:ascii="Aptos" w:hAnsi="Aptos"/>
                <w:b w:val="0"/>
                <w:color w:val="263442"/>
                <w:sz w:val="17"/>
              </w:rPr>
            </w:r>
          </w:p>
        </w:tc>
        <w:tc>
          <w:tcPr>
            <w:tcW w:type="dxa" w:w="6803"/>
            <w:tcMar>
              <w:top w:w="120" w:type="dxa"/>
              <w:start w:w="140" w:type="dxa"/>
              <w:bottom w:w="120" w:type="dxa"/>
              <w:end w:w="140" w:type="dxa"/>
            </w:tcMar>
            <w:vAlign w:val="center"/>
          </w:tcPr>
          <w:p>
            <w:pPr>
              <w:spacing w:after="0"/>
              <w:jc w:val="left"/>
            </w:pPr>
            <w:r>
              <w:t>[MASUKKAN NAMA PROJEK]</w:t>
            </w:r>
            <w:r>
              <w:rPr>
                <w:rFonts w:ascii="Aptos" w:hAnsi="Aptos"/>
                <w:b w:val="0"/>
                <w:color w:val="263442"/>
                <w:sz w:val="17"/>
              </w:rPr>
            </w:r>
          </w:p>
        </w:tc>
      </w:tr>
      <w:tr>
        <w:trPr>
          <w:cantSplit/>
        </w:trPr>
        <w:tc>
          <w:tcPr>
            <w:tcW w:type="dxa" w:w="2835"/>
            <w:shd w:fill="F4F7FA"/>
            <w:tcMar>
              <w:top w:w="120" w:type="dxa"/>
              <w:start w:w="140" w:type="dxa"/>
              <w:bottom w:w="120" w:type="dxa"/>
              <w:end w:w="140" w:type="dxa"/>
            </w:tcMar>
            <w:vAlign w:val="center"/>
          </w:tcPr>
          <w:p>
            <w:pPr>
              <w:spacing w:after="0"/>
              <w:jc w:val="left"/>
            </w:pPr>
            <w:r>
              <w:t>Majikan / Klien</w:t>
            </w:r>
            <w:r>
              <w:rPr>
                <w:rFonts w:ascii="Aptos" w:hAnsi="Aptos"/>
                <w:b w:val="0"/>
                <w:color w:val="263442"/>
                <w:sz w:val="17"/>
              </w:rPr>
            </w:r>
          </w:p>
        </w:tc>
        <w:tc>
          <w:tcPr>
            <w:tcW w:type="dxa" w:w="6803"/>
            <w:shd w:fill="F4F7FA"/>
            <w:tcMar>
              <w:top w:w="120" w:type="dxa"/>
              <w:start w:w="140" w:type="dxa"/>
              <w:bottom w:w="120" w:type="dxa"/>
              <w:end w:w="140" w:type="dxa"/>
            </w:tcMar>
            <w:vAlign w:val="center"/>
          </w:tcPr>
          <w:p>
            <w:pPr>
              <w:spacing w:after="0"/>
              <w:jc w:val="left"/>
            </w:pPr>
            <w:r>
              <w:t>[MASUKKAN NAMA]</w:t>
            </w:r>
            <w:r>
              <w:rPr>
                <w:rFonts w:ascii="Aptos" w:hAnsi="Aptos"/>
                <w:b w:val="0"/>
                <w:color w:val="263442"/>
                <w:sz w:val="17"/>
              </w:rPr>
            </w:r>
          </w:p>
        </w:tc>
      </w:tr>
      <w:tr>
        <w:trPr>
          <w:cantSplit/>
        </w:trPr>
        <w:tc>
          <w:tcPr>
            <w:tcW w:type="dxa" w:w="2835"/>
            <w:tcMar>
              <w:top w:w="120" w:type="dxa"/>
              <w:start w:w="140" w:type="dxa"/>
              <w:bottom w:w="120" w:type="dxa"/>
              <w:end w:w="140" w:type="dxa"/>
            </w:tcMar>
            <w:vAlign w:val="center"/>
          </w:tcPr>
          <w:p>
            <w:pPr>
              <w:spacing w:after="0"/>
              <w:jc w:val="left"/>
            </w:pPr>
            <w:r>
              <w:t>Kontraktor Utama</w:t>
            </w:r>
            <w:r>
              <w:rPr>
                <w:rFonts w:ascii="Aptos" w:hAnsi="Aptos"/>
                <w:b w:val="0"/>
                <w:color w:val="263442"/>
                <w:sz w:val="17"/>
              </w:rPr>
            </w:r>
          </w:p>
        </w:tc>
        <w:tc>
          <w:tcPr>
            <w:tcW w:type="dxa" w:w="6803"/>
            <w:tcMar>
              <w:top w:w="120" w:type="dxa"/>
              <w:start w:w="140" w:type="dxa"/>
              <w:bottom w:w="120" w:type="dxa"/>
              <w:end w:w="140" w:type="dxa"/>
            </w:tcMar>
            <w:vAlign w:val="center"/>
          </w:tcPr>
          <w:p>
            <w:pPr>
              <w:spacing w:after="0"/>
              <w:jc w:val="left"/>
            </w:pPr>
            <w:r>
              <w:t>[MASUKKAN NAMA]</w:t>
            </w:r>
            <w:r>
              <w:rPr>
                <w:rFonts w:ascii="Aptos" w:hAnsi="Aptos"/>
                <w:b w:val="0"/>
                <w:color w:val="263442"/>
                <w:sz w:val="17"/>
              </w:rPr>
            </w:r>
          </w:p>
        </w:tc>
      </w:tr>
      <w:tr>
        <w:trPr>
          <w:cantSplit/>
        </w:trPr>
        <w:tc>
          <w:tcPr>
            <w:tcW w:type="dxa" w:w="2835"/>
            <w:shd w:fill="F4F7FA"/>
            <w:tcMar>
              <w:top w:w="120" w:type="dxa"/>
              <w:start w:w="140" w:type="dxa"/>
              <w:bottom w:w="120" w:type="dxa"/>
              <w:end w:w="140" w:type="dxa"/>
            </w:tcMar>
            <w:vAlign w:val="center"/>
          </w:tcPr>
          <w:p>
            <w:pPr>
              <w:spacing w:after="0"/>
              <w:jc w:val="left"/>
            </w:pPr>
            <w:r>
              <w:t>Perunding</w:t>
            </w:r>
            <w:r>
              <w:rPr>
                <w:rFonts w:ascii="Aptos" w:hAnsi="Aptos"/>
                <w:b w:val="0"/>
                <w:color w:val="263442"/>
                <w:sz w:val="17"/>
              </w:rPr>
            </w:r>
          </w:p>
        </w:tc>
        <w:tc>
          <w:tcPr>
            <w:tcW w:type="dxa" w:w="6803"/>
            <w:shd w:fill="F4F7FA"/>
            <w:tcMar>
              <w:top w:w="120" w:type="dxa"/>
              <w:start w:w="140" w:type="dxa"/>
              <w:bottom w:w="120" w:type="dxa"/>
              <w:end w:w="140" w:type="dxa"/>
            </w:tcMar>
            <w:vAlign w:val="center"/>
          </w:tcPr>
          <w:p>
            <w:pPr>
              <w:spacing w:after="0"/>
              <w:jc w:val="left"/>
            </w:pPr>
            <w:r>
              <w:t>[MASUKKAN JURUTERA PERUNDING / ARKITEK]</w:t>
            </w:r>
            <w:r>
              <w:rPr>
                <w:rFonts w:ascii="Aptos" w:hAnsi="Aptos"/>
                <w:b w:val="0"/>
                <w:color w:val="263442"/>
                <w:sz w:val="17"/>
              </w:rPr>
            </w:r>
          </w:p>
        </w:tc>
      </w:tr>
      <w:tr>
        <w:trPr>
          <w:cantSplit/>
        </w:trPr>
        <w:tc>
          <w:tcPr>
            <w:tcW w:type="dxa" w:w="2835"/>
            <w:tcMar>
              <w:top w:w="120" w:type="dxa"/>
              <w:start w:w="140" w:type="dxa"/>
              <w:bottom w:w="120" w:type="dxa"/>
              <w:end w:w="140" w:type="dxa"/>
            </w:tcMar>
            <w:vAlign w:val="center"/>
          </w:tcPr>
          <w:p>
            <w:pPr>
              <w:spacing w:after="0"/>
              <w:jc w:val="left"/>
            </w:pPr>
            <w:r>
              <w:t>No. Dokumen</w:t>
            </w:r>
            <w:r>
              <w:rPr>
                <w:rFonts w:ascii="Aptos" w:hAnsi="Aptos"/>
                <w:b w:val="0"/>
                <w:color w:val="263442"/>
                <w:sz w:val="17"/>
              </w:rPr>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MS-DTC-010</w:t>
            </w:r>
          </w:p>
        </w:tc>
      </w:tr>
      <w:tr>
        <w:trPr>
          <w:cantSplit/>
        </w:trPr>
        <w:tc>
          <w:tcPr>
            <w:tcW w:type="dxa" w:w="2835"/>
            <w:shd w:fill="F4F7FA"/>
            <w:tcMar>
              <w:top w:w="120" w:type="dxa"/>
              <w:start w:w="140" w:type="dxa"/>
              <w:bottom w:w="120" w:type="dxa"/>
              <w:end w:w="140" w:type="dxa"/>
            </w:tcMar>
            <w:vAlign w:val="center"/>
          </w:tcPr>
          <w:p>
            <w:pPr>
              <w:spacing w:after="0"/>
              <w:jc w:val="left"/>
            </w:pPr>
            <w:r>
              <w:t>Semakan / Tarikh</w:t>
            </w:r>
            <w:r>
              <w:rPr>
                <w:rFonts w:ascii="Aptos" w:hAnsi="Aptos"/>
                <w:b w:val="0"/>
                <w:color w:val="263442"/>
                <w:sz w:val="17"/>
              </w:rPr>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Rev. 0 / [DD MMM YYYY]</w:t>
            </w:r>
          </w:p>
        </w:tc>
      </w:tr>
    </w:tbl>
    <w:p/>
    <w:tbl>
      <w:tblPr>
        <w:tblW w:type="auto" w:w="0"/>
        <w:tblLook w:firstColumn="1" w:firstRow="1" w:lastColumn="0" w:lastRow="0" w:noHBand="0" w:noVBand="1" w:val="04A0"/>
      </w:tblPr>
      <w:tblGrid>
        <w:gridCol w:w="10200"/>
      </w:tblGrid>
      <w:tr>
        <w:trPr>
          <w:tblHeader w:val="true"/>
        </w:trPr>
        <w:tc>
          <w:tcPr>
            <w:tcW w:type="dxa" w:w="10200"/>
            <w:shd w:fill="EAF1F7"/>
            <w:tcMar>
              <w:top w:w="120" w:type="dxa"/>
              <w:start w:w="140" w:type="dxa"/>
              <w:bottom w:w="120" w:type="dxa"/>
              <w:end w:w="140" w:type="dxa"/>
            </w:tcMar>
            <w:vAlign w:val="center"/>
          </w:tcPr>
          <w:p>
            <w:pPr>
              <w:spacing w:after="0"/>
              <w:jc w:val="left"/>
            </w:pPr>
            <w:r>
              <w:t>PENTING: Ini ialah template permulaan yang boleh diedit. Pasukan projek yang kompeten hendaklah menyesuaikan dan meluluskannya berdasarkan kontrak, lukisan diluluskan, spesifikasi projek, keadaan sebenar tapak, bahan diluluskan, arahan pengilang, keperluan undang-undang Malaysia yang berkenaan serta prosedur penyerahan Perunding sebelum kerja dimulakan.</w:t>
            </w:r>
            <w:r>
              <w:rPr>
                <w:rFonts w:ascii="Aptos" w:hAnsi="Aptos"/>
                <w:b/>
                <w:color w:val="071E33"/>
                <w:sz w:val="18"/>
              </w:rPr>
            </w:r>
          </w:p>
        </w:tc>
      </w:tr>
    </w:tbl>
    <w:p>
      <w:r>
        <w:br w:type="page"/>
      </w:r>
    </w:p>
    <w:p>
      <w:pPr>
        <w:pStyle w:val="Heading1"/>
        <w:keepNext/>
        <w:spacing w:before="240" w:after="100"/>
      </w:pPr>
      <w:r>
        <w:rPr>
          <w:rFonts w:ascii="Aptos" w:hAnsi="Aptos"/>
          <w:b/>
          <w:color w:val="071E33"/>
          <w:sz w:val="28"/>
        </w:rPr>
        <w:t>KAWALAN DOKUMEN</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Rev.</w:t>
            </w:r>
          </w:p>
        </w:tc>
        <w:tc>
          <w:tcPr>
            <w:tcW w:type="dxa" w:w="1247"/>
            <w:shd w:fill="071E33"/>
            <w:tcMar>
              <w:top w:w="120" w:type="dxa"/>
              <w:start w:w="140" w:type="dxa"/>
              <w:bottom w:w="120" w:type="dxa"/>
              <w:end w:w="140" w:type="dxa"/>
            </w:tcMar>
            <w:vAlign w:val="center"/>
          </w:tcPr>
          <w:p>
            <w:pPr>
              <w:spacing w:after="0"/>
              <w:jc w:val="left"/>
            </w:pPr>
            <w:r>
              <w:t>Tarikh</w:t>
            </w:r>
            <w:r>
              <w:rPr>
                <w:rFonts w:ascii="Aptos" w:hAnsi="Aptos"/>
                <w:b/>
                <w:color w:val="FFFFFF"/>
                <w:sz w:val="17"/>
              </w:rPr>
            </w:r>
          </w:p>
        </w:tc>
        <w:tc>
          <w:tcPr>
            <w:tcW w:type="dxa" w:w="2494"/>
            <w:shd w:fill="071E33"/>
            <w:tcMar>
              <w:top w:w="120" w:type="dxa"/>
              <w:start w:w="140" w:type="dxa"/>
              <w:bottom w:w="120" w:type="dxa"/>
              <w:end w:w="140" w:type="dxa"/>
            </w:tcMar>
            <w:vAlign w:val="center"/>
          </w:tcPr>
          <w:p>
            <w:pPr>
              <w:spacing w:after="0"/>
              <w:jc w:val="left"/>
            </w:pPr>
            <w:r>
              <w:t>Penerangan</w:t>
            </w:r>
            <w:r>
              <w:rPr>
                <w:rFonts w:ascii="Aptos" w:hAnsi="Aptos"/>
                <w:b/>
                <w:color w:val="FFFFFF"/>
                <w:sz w:val="17"/>
              </w:rPr>
            </w:r>
          </w:p>
        </w:tc>
        <w:tc>
          <w:tcPr>
            <w:tcW w:type="dxa" w:w="1701"/>
            <w:shd w:fill="071E33"/>
            <w:tcMar>
              <w:top w:w="120" w:type="dxa"/>
              <w:start w:w="140" w:type="dxa"/>
              <w:bottom w:w="120" w:type="dxa"/>
              <w:end w:w="140" w:type="dxa"/>
            </w:tcMar>
            <w:vAlign w:val="center"/>
          </w:tcPr>
          <w:p>
            <w:pPr>
              <w:spacing w:after="0"/>
              <w:jc w:val="left"/>
            </w:pPr>
            <w:r>
              <w:t>Disediakan oleh</w:t>
            </w:r>
            <w:r>
              <w:rPr>
                <w:rFonts w:ascii="Aptos" w:hAnsi="Aptos"/>
                <w:b/>
                <w:color w:val="FFFFFF"/>
                <w:sz w:val="17"/>
              </w:rPr>
            </w:r>
          </w:p>
        </w:tc>
        <w:tc>
          <w:tcPr>
            <w:tcW w:type="dxa" w:w="1701"/>
            <w:shd w:fill="071E33"/>
            <w:tcMar>
              <w:top w:w="120" w:type="dxa"/>
              <w:start w:w="140" w:type="dxa"/>
              <w:bottom w:w="120" w:type="dxa"/>
              <w:end w:w="140" w:type="dxa"/>
            </w:tcMar>
            <w:vAlign w:val="center"/>
          </w:tcPr>
          <w:p>
            <w:pPr>
              <w:spacing w:after="0"/>
              <w:jc w:val="left"/>
            </w:pPr>
            <w:r>
              <w:t>Disemak oleh</w:t>
            </w:r>
            <w:r>
              <w:rPr>
                <w:rFonts w:ascii="Aptos" w:hAnsi="Aptos"/>
                <w:b/>
                <w:color w:val="FFFFFF"/>
                <w:sz w:val="17"/>
              </w:rPr>
            </w:r>
          </w:p>
        </w:tc>
        <w:tc>
          <w:tcPr>
            <w:tcW w:type="dxa" w:w="1701"/>
            <w:shd w:fill="071E33"/>
            <w:tcMar>
              <w:top w:w="120" w:type="dxa"/>
              <w:start w:w="140" w:type="dxa"/>
              <w:bottom w:w="120" w:type="dxa"/>
              <w:end w:w="140" w:type="dxa"/>
            </w:tcMar>
            <w:vAlign w:val="center"/>
          </w:tcPr>
          <w:p>
            <w:pPr>
              <w:spacing w:after="0"/>
              <w:jc w:val="left"/>
            </w:pPr>
            <w:r>
              <w:t>Diluluskan oleh</w:t>
            </w:r>
            <w:r>
              <w:rPr>
                <w:rFonts w:ascii="Aptos" w:hAnsi="Aptos"/>
                <w:b/>
                <w:color w:val="FFFFFF"/>
                <w:sz w:val="17"/>
              </w:rPr>
            </w:r>
          </w:p>
        </w:tc>
      </w:tr>
      <w:tr>
        <w:trPr>
          <w:cantSplit/>
        </w:trPr>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0</w:t>
            </w:r>
          </w:p>
        </w:tc>
        <w:tc>
          <w:tcPr>
            <w:tcW w:type="dxa" w:w="1247"/>
            <w:tcMar>
              <w:top w:w="120" w:type="dxa"/>
              <w:start w:w="140" w:type="dxa"/>
              <w:bottom w:w="120" w:type="dxa"/>
              <w:end w:w="140" w:type="dxa"/>
            </w:tcMar>
            <w:vAlign w:val="center"/>
          </w:tcPr>
          <w:p>
            <w:pPr>
              <w:spacing w:after="0"/>
              <w:jc w:val="left"/>
            </w:pPr>
            <w:r>
              <w:t>[Tarikh]</w:t>
            </w:r>
            <w:r>
              <w:rPr>
                <w:rFonts w:ascii="Aptos" w:hAnsi="Aptos"/>
                <w:b w:val="0"/>
                <w:color w:val="263442"/>
                <w:sz w:val="17"/>
              </w:rPr>
            </w:r>
          </w:p>
        </w:tc>
        <w:tc>
          <w:tcPr>
            <w:tcW w:type="dxa" w:w="2494"/>
            <w:tcMar>
              <w:top w:w="120" w:type="dxa"/>
              <w:start w:w="140" w:type="dxa"/>
              <w:bottom w:w="120" w:type="dxa"/>
              <w:end w:w="140" w:type="dxa"/>
            </w:tcMar>
            <w:vAlign w:val="center"/>
          </w:tcPr>
          <w:p>
            <w:pPr>
              <w:spacing w:after="0"/>
              <w:jc w:val="left"/>
            </w:pPr>
            <w:r>
              <w:t>Penyerahan awal</w:t>
            </w:r>
            <w:r>
              <w:rPr>
                <w:rFonts w:ascii="Aptos" w:hAnsi="Aptos"/>
                <w:b w:val="0"/>
                <w:color w:val="263442"/>
                <w:sz w:val="17"/>
              </w:rPr>
            </w:r>
          </w:p>
        </w:tc>
        <w:tc>
          <w:tcPr>
            <w:tcW w:type="dxa" w:w="1701"/>
            <w:tcMar>
              <w:top w:w="120" w:type="dxa"/>
              <w:start w:w="140" w:type="dxa"/>
              <w:bottom w:w="120" w:type="dxa"/>
              <w:end w:w="140" w:type="dxa"/>
            </w:tcMar>
            <w:vAlign w:val="center"/>
          </w:tcPr>
          <w:p>
            <w:pPr>
              <w:spacing w:after="0"/>
              <w:jc w:val="left"/>
            </w:pPr>
            <w:r>
              <w:t>[Nama / Tandatangan]</w:t>
            </w:r>
            <w:r>
              <w:rPr>
                <w:rFonts w:ascii="Aptos" w:hAnsi="Aptos"/>
                <w:b w:val="0"/>
                <w:color w:val="263442"/>
                <w:sz w:val="17"/>
              </w:rPr>
            </w:r>
          </w:p>
        </w:tc>
        <w:tc>
          <w:tcPr>
            <w:tcW w:type="dxa" w:w="1701"/>
            <w:tcMar>
              <w:top w:w="120" w:type="dxa"/>
              <w:start w:w="140" w:type="dxa"/>
              <w:bottom w:w="120" w:type="dxa"/>
              <w:end w:w="140" w:type="dxa"/>
            </w:tcMar>
            <w:vAlign w:val="center"/>
          </w:tcPr>
          <w:p>
            <w:pPr>
              <w:spacing w:after="0"/>
              <w:jc w:val="left"/>
            </w:pPr>
            <w:r>
              <w:t>[Nama / Tandatangan]</w:t>
            </w:r>
            <w:r>
              <w:rPr>
                <w:rFonts w:ascii="Aptos" w:hAnsi="Aptos"/>
                <w:b w:val="0"/>
                <w:color w:val="263442"/>
                <w:sz w:val="17"/>
              </w:rPr>
            </w:r>
          </w:p>
        </w:tc>
        <w:tc>
          <w:tcPr>
            <w:tcW w:type="dxa" w:w="1701"/>
            <w:tcMar>
              <w:top w:w="120" w:type="dxa"/>
              <w:start w:w="140" w:type="dxa"/>
              <w:bottom w:w="120" w:type="dxa"/>
              <w:end w:w="140" w:type="dxa"/>
            </w:tcMar>
            <w:vAlign w:val="center"/>
          </w:tcPr>
          <w:p>
            <w:pPr>
              <w:spacing w:after="0"/>
              <w:jc w:val="left"/>
            </w:pPr>
            <w:r>
              <w:t>[Nama / Tandatangan]</w:t>
            </w:r>
            <w:r>
              <w:rPr>
                <w:rFonts w:ascii="Aptos" w:hAnsi="Aptos"/>
                <w:b w:val="0"/>
                <w:color w:val="263442"/>
                <w:sz w:val="17"/>
              </w:rPr>
            </w:r>
          </w:p>
        </w:tc>
      </w:tr>
      <w:tr>
        <w:trPr>
          <w:cantSplit/>
        </w:trPr>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24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494"/>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STATUS PENYERAHAN</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4252"/>
            <w:shd w:fill="071E33"/>
            <w:tcMar>
              <w:top w:w="120" w:type="dxa"/>
              <w:start w:w="140" w:type="dxa"/>
              <w:bottom w:w="120" w:type="dxa"/>
              <w:end w:w="140" w:type="dxa"/>
            </w:tcMar>
            <w:vAlign w:val="center"/>
          </w:tcPr>
          <w:p>
            <w:pPr>
              <w:spacing w:after="0"/>
              <w:jc w:val="left"/>
            </w:pPr>
            <w:r>
              <w:t>Semakan Perunding</w:t>
            </w:r>
            <w:r>
              <w:rPr>
                <w:rFonts w:ascii="Aptos" w:hAnsi="Aptos"/>
                <w:b/>
                <w:color w:val="FFFFFF"/>
                <w:sz w:val="17"/>
              </w:rPr>
            </w:r>
          </w:p>
        </w:tc>
        <w:tc>
          <w:tcPr>
            <w:tcW w:type="dxa" w:w="5386"/>
            <w:shd w:fill="071E33"/>
            <w:tcMar>
              <w:top w:w="120" w:type="dxa"/>
              <w:start w:w="140" w:type="dxa"/>
              <w:bottom w:w="120" w:type="dxa"/>
              <w:end w:w="140" w:type="dxa"/>
            </w:tcMar>
            <w:vAlign w:val="center"/>
          </w:tcPr>
          <w:p>
            <w:pPr>
              <w:spacing w:after="0"/>
              <w:jc w:val="left"/>
            </w:pPr>
            <w:r>
              <w:t>Tanda / Ulasan</w:t>
            </w:r>
            <w:r>
              <w:rPr>
                <w:rFonts w:ascii="Aptos" w:hAnsi="Aptos"/>
                <w:b/>
                <w:color w:val="FFFFFF"/>
                <w:sz w:val="17"/>
              </w:rPr>
            </w:r>
          </w:p>
        </w:tc>
      </w:tr>
      <w:tr>
        <w:trPr>
          <w:cantSplit/>
        </w:trPr>
        <w:tc>
          <w:tcPr>
            <w:tcW w:type="dxa" w:w="4252"/>
            <w:tcMar>
              <w:top w:w="120" w:type="dxa"/>
              <w:start w:w="140" w:type="dxa"/>
              <w:bottom w:w="120" w:type="dxa"/>
              <w:end w:w="140" w:type="dxa"/>
            </w:tcMar>
            <w:vAlign w:val="center"/>
          </w:tcPr>
          <w:p>
            <w:pPr>
              <w:spacing w:after="0"/>
              <w:jc w:val="left"/>
            </w:pPr>
            <w:r>
              <w:t>Diluluskan</w:t>
            </w:r>
            <w:r>
              <w:rPr>
                <w:rFonts w:ascii="Aptos" w:hAnsi="Aptos"/>
                <w:b w:val="0"/>
                <w:color w:val="263442"/>
                <w:sz w:val="17"/>
              </w:rPr>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t>Diluluskan dengan ulasan</w:t>
            </w:r>
            <w:r>
              <w:rPr>
                <w:rFonts w:ascii="Aptos" w:hAnsi="Aptos"/>
                <w:b w:val="0"/>
                <w:color w:val="263442"/>
                <w:sz w:val="17"/>
              </w:rPr>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tcMar>
              <w:top w:w="120" w:type="dxa"/>
              <w:start w:w="140" w:type="dxa"/>
              <w:bottom w:w="120" w:type="dxa"/>
              <w:end w:w="140" w:type="dxa"/>
            </w:tcMar>
            <w:vAlign w:val="center"/>
          </w:tcPr>
          <w:p>
            <w:pPr>
              <w:spacing w:after="0"/>
              <w:jc w:val="left"/>
            </w:pPr>
            <w:r>
              <w:t>Pinda dan serah semula</w:t>
            </w:r>
            <w:r>
              <w:rPr>
                <w:rFonts w:ascii="Aptos" w:hAnsi="Aptos"/>
                <w:b w:val="0"/>
                <w:color w:val="263442"/>
                <w:sz w:val="17"/>
              </w:rPr>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t>Ditolak</w:t>
            </w:r>
            <w:r>
              <w:rPr>
                <w:rFonts w:ascii="Aptos" w:hAnsi="Aptos"/>
                <w:b w:val="0"/>
                <w:color w:val="263442"/>
                <w:sz w:val="17"/>
              </w:rPr>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bl>
    <w:p>
      <w:pPr>
        <w:pStyle w:val="Heading1"/>
        <w:keepNext/>
        <w:spacing w:before="240" w:after="100"/>
      </w:pPr>
      <w:r>
        <w:rPr>
          <w:rFonts w:ascii="Aptos" w:hAnsi="Aptos"/>
          <w:b/>
          <w:color w:val="071E33"/>
          <w:sz w:val="28"/>
        </w:rPr>
        <w:t>1. TUJUAN</w:t>
      </w:r>
    </w:p>
    <w:p>
      <w:r>
        <w:rPr>
          <w:rFonts w:ascii="Aptos" w:hAnsi="Aptos"/>
          <w:b w:val="0"/>
          <w:color w:val="263442"/>
          <w:sz w:val="19"/>
        </w:rPr>
        <w:t>Penyata kaedah ini menetapkan kawalan, urutan, sumber dan keperluan pemeriksaan yang dicadangkan bagi sistem pemadaman kebakaran agen bersih supaya kerja dilaksanakan dengan selamat, konsisten dan selaras dengan keperluan projek yang diluluskan.</w:t>
      </w:r>
    </w:p>
    <w:p>
      <w:pPr>
        <w:pStyle w:val="Heading1"/>
        <w:keepNext/>
        <w:spacing w:before="240" w:after="100"/>
      </w:pPr>
      <w:r>
        <w:rPr>
          <w:rFonts w:ascii="Aptos" w:hAnsi="Aptos"/>
          <w:b/>
          <w:color w:val="071E33"/>
          <w:sz w:val="28"/>
        </w:rPr>
        <w:t>2. SKOP</w:t>
      </w:r>
    </w:p>
    <w:p>
      <w:r>
        <w:rPr>
          <w:rFonts w:ascii="Aptos" w:hAnsi="Aptos"/>
          <w:b w:val="0"/>
          <w:color w:val="263442"/>
          <w:sz w:val="19"/>
        </w:rPr>
        <w:t>Skop merangkumi persediaan, penerimaan bahan, pelaksanaan, pemeriksaan, pengujian, perlindungan, rekod dan penyerahan berkaitan sistem pemadaman kebakaran agen bersih. Interface dengan trade terdahulu dan seterusnya turut termasuk apabila menjejaskan mutu atau keselamatan kerja.</w:t>
      </w:r>
    </w:p>
    <w:p>
      <w:pPr>
        <w:pStyle w:val="Heading1"/>
        <w:keepNext/>
        <w:spacing w:before="240" w:after="100"/>
      </w:pPr>
      <w:r>
        <w:rPr>
          <w:rFonts w:ascii="Aptos" w:hAnsi="Aptos"/>
          <w:b/>
          <w:color w:val="071E33"/>
          <w:sz w:val="28"/>
        </w:rPr>
        <w:t>3. RUJUKAN DAN KEUTAMAAN</w:t>
      </w:r>
    </w:p>
    <w:p>
      <w:pPr>
        <w:pStyle w:val="ListBullet"/>
        <w:spacing w:after="50"/>
        <w:ind w:left="369" w:hanging="170"/>
      </w:pPr>
      <w:r>
        <w:rPr>
          <w:rFonts w:ascii="Aptos" w:hAnsi="Aptos"/>
          <w:b w:val="0"/>
          <w:color w:val="263442"/>
          <w:sz w:val="19"/>
        </w:rPr>
        <w:t>Dokumen kontrak, spesifikasi projek dan lukisan pembinaan terkini yang diluluskan.</w:t>
      </w:r>
    </w:p>
    <w:p>
      <w:pPr>
        <w:pStyle w:val="ListBullet"/>
        <w:spacing w:after="50"/>
        <w:ind w:left="369" w:hanging="170"/>
      </w:pPr>
      <w:r>
        <w:rPr>
          <w:rFonts w:ascii="Aptos" w:hAnsi="Aptos"/>
          <w:b w:val="0"/>
          <w:color w:val="263442"/>
          <w:sz w:val="19"/>
        </w:rPr>
        <w:t>Penyerahan bahan, sampel, lukisan kerja dan lukisan koordinasi yang diluluskan.</w:t>
      </w:r>
    </w:p>
    <w:p>
      <w:pPr>
        <w:pStyle w:val="ListBullet"/>
        <w:spacing w:after="50"/>
        <w:ind w:left="369" w:hanging="170"/>
      </w:pPr>
      <w:r>
        <w:rPr>
          <w:rFonts w:ascii="Aptos" w:hAnsi="Aptos"/>
          <w:b w:val="0"/>
          <w:color w:val="263442"/>
          <w:sz w:val="19"/>
        </w:rPr>
        <w:t>Arahan semasa pengilang bagi pemasangan, penyimpanan, pengujian dan penyelenggaraan.</w:t>
      </w:r>
    </w:p>
    <w:p>
      <w:pPr>
        <w:pStyle w:val="ListBullet"/>
        <w:spacing w:after="50"/>
        <w:ind w:left="369" w:hanging="170"/>
      </w:pPr>
      <w:r>
        <w:rPr>
          <w:rFonts w:ascii="Aptos" w:hAnsi="Aptos"/>
          <w:b w:val="0"/>
          <w:color w:val="263442"/>
          <w:sz w:val="19"/>
        </w:rPr>
        <w:t>Pelan Pemeriksaan dan Pengujian, penilaian risiko, permit serta pelan HSE projek yang diluluskan.</w:t>
      </w:r>
    </w:p>
    <w:p>
      <w:pPr>
        <w:pStyle w:val="ListBullet"/>
        <w:spacing w:after="50"/>
        <w:ind w:left="369" w:hanging="170"/>
      </w:pPr>
      <w:r>
        <w:rPr>
          <w:rFonts w:ascii="Aptos" w:hAnsi="Aptos"/>
          <w:b w:val="0"/>
          <w:color w:val="263442"/>
          <w:sz w:val="19"/>
        </w:rPr>
        <w:t>Undang-undang Malaysia, kehendak pihak berkuasa, piawaian dan kod berkaitan yang dinyatakan dalam spesifikasi projek.</w:t>
      </w:r>
    </w:p>
    <w:p>
      <w:pPr>
        <w:pStyle w:val="ListBullet"/>
        <w:spacing w:after="50"/>
        <w:ind w:left="369" w:hanging="170"/>
      </w:pPr>
      <w:r>
        <w:rPr>
          <w:rFonts w:ascii="Aptos" w:hAnsi="Aptos"/>
          <w:b w:val="0"/>
          <w:color w:val="263442"/>
          <w:sz w:val="19"/>
        </w:rPr>
        <w:t>Jika terdapat percanggahan keperluan, hentikan kerja dan dapatkan penjelasan bertulis daripada Perunding sebelum meneruskan.</w:t>
      </w:r>
    </w:p>
    <w:p>
      <w:pPr>
        <w:pStyle w:val="Heading1"/>
        <w:keepNext/>
        <w:spacing w:before="240" w:after="100"/>
      </w:pPr>
      <w:r>
        <w:rPr>
          <w:rFonts w:ascii="Aptos" w:hAnsi="Aptos"/>
          <w:b/>
          <w:color w:val="071E33"/>
          <w:sz w:val="28"/>
        </w:rPr>
        <w:t>4. TANGGUNGJAWAB</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438"/>
            <w:shd w:fill="071E33"/>
            <w:tcMar>
              <w:top w:w="120" w:type="dxa"/>
              <w:start w:w="140" w:type="dxa"/>
              <w:bottom w:w="120" w:type="dxa"/>
              <w:end w:w="140" w:type="dxa"/>
            </w:tcMar>
            <w:vAlign w:val="center"/>
          </w:tcPr>
          <w:p>
            <w:pPr>
              <w:spacing w:after="0"/>
              <w:jc w:val="left"/>
            </w:pPr>
            <w:r>
              <w:t>Peranan</w:t>
            </w:r>
            <w:r>
              <w:rPr>
                <w:rFonts w:ascii="Aptos" w:hAnsi="Aptos"/>
                <w:b/>
                <w:color w:val="FFFFFF"/>
                <w:sz w:val="17"/>
              </w:rPr>
            </w:r>
          </w:p>
        </w:tc>
        <w:tc>
          <w:tcPr>
            <w:tcW w:type="dxa" w:w="7200"/>
            <w:shd w:fill="071E33"/>
            <w:tcMar>
              <w:top w:w="120" w:type="dxa"/>
              <w:start w:w="140" w:type="dxa"/>
              <w:bottom w:w="120" w:type="dxa"/>
              <w:end w:w="140" w:type="dxa"/>
            </w:tcMar>
            <w:vAlign w:val="center"/>
          </w:tcPr>
          <w:p>
            <w:pPr>
              <w:spacing w:after="0"/>
              <w:jc w:val="left"/>
            </w:pPr>
            <w:r>
              <w:t>Tanggungjawab minimum</w:t>
            </w:r>
            <w:r>
              <w:rPr>
                <w:rFonts w:ascii="Aptos" w:hAnsi="Aptos"/>
                <w:b/>
                <w:color w:val="FFFFFF"/>
                <w:sz w:val="17"/>
              </w:rPr>
            </w:r>
          </w:p>
        </w:tc>
      </w:tr>
      <w:tr>
        <w:trPr>
          <w:cantSplit/>
        </w:trPr>
        <w:tc>
          <w:tcPr>
            <w:tcW w:type="dxa" w:w="2438"/>
            <w:tcMar>
              <w:top w:w="120" w:type="dxa"/>
              <w:start w:w="140" w:type="dxa"/>
              <w:bottom w:w="120" w:type="dxa"/>
              <w:end w:w="140" w:type="dxa"/>
            </w:tcMar>
            <w:vAlign w:val="center"/>
          </w:tcPr>
          <w:p>
            <w:pPr>
              <w:spacing w:after="0"/>
              <w:jc w:val="left"/>
            </w:pPr>
            <w:r>
              <w:t>Pengurus Projek</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Sediakan sumber, luluskan pelan kerja dan pastikan semua interface diselesaikan.</w:t>
            </w:r>
            <w:r>
              <w:rPr>
                <w:rFonts w:ascii="Aptos" w:hAnsi="Aptos"/>
                <w:b w:val="0"/>
                <w:color w:val="263442"/>
                <w:sz w:val="17"/>
              </w:rPr>
            </w:r>
          </w:p>
        </w:tc>
      </w:tr>
      <w:tr>
        <w:trPr>
          <w:cantSplit/>
        </w:trPr>
        <w:tc>
          <w:tcPr>
            <w:tcW w:type="dxa" w:w="2438"/>
            <w:shd w:fill="F4F7FA"/>
            <w:tcMar>
              <w:top w:w="120" w:type="dxa"/>
              <w:start w:w="140" w:type="dxa"/>
              <w:bottom w:w="120" w:type="dxa"/>
              <w:end w:w="140" w:type="dxa"/>
            </w:tcMar>
            <w:vAlign w:val="center"/>
          </w:tcPr>
          <w:p>
            <w:pPr>
              <w:spacing w:after="0"/>
              <w:jc w:val="left"/>
            </w:pPr>
            <w:r>
              <w:t>Pengurus Pembinaan / Tapak</w:t>
            </w:r>
            <w:r>
              <w:rPr>
                <w:rFonts w:ascii="Aptos" w:hAnsi="Aptos"/>
                <w:b w:val="0"/>
                <w:color w:val="263442"/>
                <w:sz w:val="17"/>
              </w:rPr>
            </w:r>
          </w:p>
        </w:tc>
        <w:tc>
          <w:tcPr>
            <w:tcW w:type="dxa" w:w="7200"/>
            <w:shd w:fill="F4F7FA"/>
            <w:tcMar>
              <w:top w:w="120" w:type="dxa"/>
              <w:start w:w="140" w:type="dxa"/>
              <w:bottom w:w="120" w:type="dxa"/>
              <w:end w:w="140" w:type="dxa"/>
            </w:tcMar>
            <w:vAlign w:val="center"/>
          </w:tcPr>
          <w:p>
            <w:pPr>
              <w:spacing w:after="0"/>
              <w:jc w:val="left"/>
            </w:pPr>
            <w:r>
              <w:t>Selaraskan urutan, akses, permit dan pelaksanaan harian.</w:t>
            </w:r>
            <w:r>
              <w:rPr>
                <w:rFonts w:ascii="Aptos" w:hAnsi="Aptos"/>
                <w:b w:val="0"/>
                <w:color w:val="263442"/>
                <w:sz w:val="17"/>
              </w:rPr>
            </w:r>
          </w:p>
        </w:tc>
      </w:tr>
      <w:tr>
        <w:trPr>
          <w:cantSplit/>
        </w:trPr>
        <w:tc>
          <w:tcPr>
            <w:tcW w:type="dxa" w:w="2438"/>
            <w:tcMar>
              <w:top w:w="120" w:type="dxa"/>
              <w:start w:w="140" w:type="dxa"/>
              <w:bottom w:w="120" w:type="dxa"/>
              <w:end w:w="140" w:type="dxa"/>
            </w:tcMar>
            <w:vAlign w:val="center"/>
          </w:tcPr>
          <w:p>
            <w:pPr>
              <w:spacing w:after="0"/>
              <w:jc w:val="left"/>
            </w:pPr>
            <w:r>
              <w:t>Jurutera Tapak</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Sahkan lukisan, setting-out, kawalan teknikal dan rekod.</w:t>
            </w:r>
            <w:r>
              <w:rPr>
                <w:rFonts w:ascii="Aptos" w:hAnsi="Aptos"/>
                <w:b w:val="0"/>
                <w:color w:val="263442"/>
                <w:sz w:val="17"/>
              </w:rPr>
            </w:r>
          </w:p>
        </w:tc>
      </w:tr>
      <w:tr>
        <w:trPr>
          <w:cantSplit/>
        </w:trPr>
        <w:tc>
          <w:tcPr>
            <w:tcW w:type="dxa" w:w="2438"/>
            <w:shd w:fill="F4F7FA"/>
            <w:tcMar>
              <w:top w:w="120" w:type="dxa"/>
              <w:start w:w="140" w:type="dxa"/>
              <w:bottom w:w="120" w:type="dxa"/>
              <w:end w:w="140" w:type="dxa"/>
            </w:tcMar>
            <w:vAlign w:val="center"/>
          </w:tcPr>
          <w:p>
            <w:pPr>
              <w:spacing w:after="0"/>
              <w:jc w:val="left"/>
            </w:pPr>
            <w:r>
              <w:t>Jurutera QA/QC</w:t>
            </w:r>
            <w:r>
              <w:rPr>
                <w:rFonts w:ascii="Aptos" w:hAnsi="Aptos"/>
                <w:b w:val="0"/>
                <w:color w:val="263442"/>
                <w:sz w:val="17"/>
              </w:rPr>
            </w:r>
          </w:p>
        </w:tc>
        <w:tc>
          <w:tcPr>
            <w:tcW w:type="dxa" w:w="7200"/>
            <w:shd w:fill="F4F7FA"/>
            <w:tcMar>
              <w:top w:w="120" w:type="dxa"/>
              <w:start w:w="140" w:type="dxa"/>
              <w:bottom w:w="120" w:type="dxa"/>
              <w:end w:w="140" w:type="dxa"/>
            </w:tcMar>
            <w:vAlign w:val="center"/>
          </w:tcPr>
          <w:p>
            <w:pPr>
              <w:spacing w:after="0"/>
              <w:jc w:val="left"/>
            </w:pPr>
            <w:r>
              <w:t>Urus pemeriksaan, ujian, hold point, ketidakpatuhan dan rekod penyerahan.</w:t>
            </w:r>
            <w:r>
              <w:rPr>
                <w:rFonts w:ascii="Aptos" w:hAnsi="Aptos"/>
                <w:b w:val="0"/>
                <w:color w:val="263442"/>
                <w:sz w:val="17"/>
              </w:rPr>
            </w:r>
          </w:p>
        </w:tc>
      </w:tr>
      <w:tr>
        <w:trPr>
          <w:cantSplit/>
        </w:trPr>
        <w:tc>
          <w:tcPr>
            <w:tcW w:type="dxa" w:w="2438"/>
            <w:tcMar>
              <w:top w:w="120" w:type="dxa"/>
              <w:start w:w="140" w:type="dxa"/>
              <w:bottom w:w="120" w:type="dxa"/>
              <w:end w:w="140" w:type="dxa"/>
            </w:tcMar>
            <w:vAlign w:val="center"/>
          </w:tcPr>
          <w:p>
            <w:pPr>
              <w:spacing w:after="0"/>
              <w:jc w:val="left"/>
            </w:pPr>
            <w:r>
              <w:t>Personel Keselamatan dan Kesihatan</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Sahkan kawalan risiko, taklimat, permit dan kesiapsiagaan kecemasan.</w:t>
            </w:r>
            <w:r>
              <w:rPr>
                <w:rFonts w:ascii="Aptos" w:hAnsi="Aptos"/>
                <w:b w:val="0"/>
                <w:color w:val="263442"/>
                <w:sz w:val="17"/>
              </w:rPr>
            </w:r>
          </w:p>
        </w:tc>
      </w:tr>
      <w:tr>
        <w:trPr>
          <w:cantSplit/>
        </w:trPr>
        <w:tc>
          <w:tcPr>
            <w:tcW w:type="dxa" w:w="2438"/>
            <w:shd w:fill="F4F7FA"/>
            <w:tcMar>
              <w:top w:w="120" w:type="dxa"/>
              <w:start w:w="140" w:type="dxa"/>
              <w:bottom w:w="120" w:type="dxa"/>
              <w:end w:w="140" w:type="dxa"/>
            </w:tcMar>
            <w:vAlign w:val="center"/>
          </w:tcPr>
          <w:p>
            <w:pPr>
              <w:spacing w:after="0"/>
              <w:jc w:val="left"/>
            </w:pPr>
            <w:r>
              <w:t>Penyelia / Foreman</w:t>
            </w:r>
            <w:r>
              <w:rPr>
                <w:rFonts w:ascii="Aptos" w:hAnsi="Aptos"/>
                <w:b w:val="0"/>
                <w:color w:val="263442"/>
                <w:sz w:val="17"/>
              </w:rPr>
            </w:r>
          </w:p>
        </w:tc>
        <w:tc>
          <w:tcPr>
            <w:tcW w:type="dxa" w:w="7200"/>
            <w:shd w:fill="F4F7FA"/>
            <w:tcMar>
              <w:top w:w="120" w:type="dxa"/>
              <w:start w:w="140" w:type="dxa"/>
              <w:bottom w:w="120" w:type="dxa"/>
              <w:end w:w="140" w:type="dxa"/>
            </w:tcMar>
            <w:vAlign w:val="center"/>
          </w:tcPr>
          <w:p>
            <w:pPr>
              <w:spacing w:after="0"/>
              <w:jc w:val="left"/>
            </w:pPr>
            <w:r>
              <w:t>Beri taklimat kepada pekerja, kawal mutu kerja dan kekalkan housekeeping.</w:t>
            </w:r>
            <w:r>
              <w:rPr>
                <w:rFonts w:ascii="Aptos" w:hAnsi="Aptos"/>
                <w:b w:val="0"/>
                <w:color w:val="263442"/>
                <w:sz w:val="17"/>
              </w:rPr>
            </w:r>
          </w:p>
        </w:tc>
      </w:tr>
      <w:tr>
        <w:trPr>
          <w:cantSplit/>
        </w:trPr>
        <w:tc>
          <w:tcPr>
            <w:tcW w:type="dxa" w:w="2438"/>
            <w:tcMar>
              <w:top w:w="120" w:type="dxa"/>
              <w:start w:w="140" w:type="dxa"/>
              <w:bottom w:w="120" w:type="dxa"/>
              <w:end w:w="140" w:type="dxa"/>
            </w:tcMar>
            <w:vAlign w:val="center"/>
          </w:tcPr>
          <w:p>
            <w:pPr>
              <w:spacing w:after="0"/>
              <w:jc w:val="left"/>
            </w:pPr>
            <w:r>
              <w:t>Juruukur / Pakar</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Laksanakan pemeriksaan, pengujian atau kerja pakar yang ditetapkan menggunakan peralatan berkalibrasi.</w:t>
            </w:r>
            <w:r>
              <w:rPr>
                <w:rFonts w:ascii="Aptos" w:hAnsi="Aptos"/>
                <w:b w:val="0"/>
                <w:color w:val="263442"/>
                <w:sz w:val="17"/>
              </w:rPr>
            </w:r>
          </w:p>
        </w:tc>
      </w:tr>
    </w:tbl>
    <w:p>
      <w:pPr>
        <w:pStyle w:val="Heading1"/>
        <w:keepNext/>
        <w:spacing w:before="240" w:after="100"/>
      </w:pPr>
      <w:r>
        <w:rPr>
          <w:rFonts w:ascii="Aptos" w:hAnsi="Aptos"/>
          <w:b/>
          <w:color w:val="071E33"/>
          <w:sz w:val="28"/>
        </w:rPr>
        <w:t>5. BAHAN</w:t>
      </w:r>
    </w:p>
    <w:p>
      <w:pPr>
        <w:pStyle w:val="ListBullet"/>
        <w:spacing w:after="50"/>
        <w:ind w:left="369" w:hanging="170"/>
      </w:pPr>
      <w:r>
        <w:rPr>
          <w:rFonts w:ascii="Aptos" w:hAnsi="Aptos"/>
          <w:b w:val="0"/>
          <w:color w:val="263442"/>
          <w:sz w:val="19"/>
        </w:rPr>
        <w:t>Agent cylinders</w:t>
      </w:r>
    </w:p>
    <w:p>
      <w:pPr>
        <w:pStyle w:val="ListBullet"/>
        <w:spacing w:after="50"/>
        <w:ind w:left="369" w:hanging="170"/>
      </w:pPr>
      <w:r>
        <w:rPr>
          <w:rFonts w:ascii="Aptos" w:hAnsi="Aptos"/>
          <w:b w:val="0"/>
          <w:color w:val="263442"/>
          <w:sz w:val="19"/>
        </w:rPr>
        <w:t>Paip dan nozzles</w:t>
      </w:r>
    </w:p>
    <w:p>
      <w:pPr>
        <w:pStyle w:val="ListBullet"/>
        <w:spacing w:after="50"/>
        <w:ind w:left="369" w:hanging="170"/>
      </w:pPr>
      <w:r>
        <w:rPr>
          <w:rFonts w:ascii="Aptos" w:hAnsi="Aptos"/>
          <w:b w:val="0"/>
          <w:color w:val="263442"/>
          <w:sz w:val="19"/>
        </w:rPr>
        <w:t>Releasing panel</w:t>
      </w:r>
    </w:p>
    <w:p>
      <w:pPr>
        <w:pStyle w:val="ListBullet"/>
        <w:spacing w:after="50"/>
        <w:ind w:left="369" w:hanging="170"/>
      </w:pPr>
      <w:r>
        <w:rPr>
          <w:rFonts w:ascii="Aptos" w:hAnsi="Aptos"/>
          <w:b w:val="0"/>
          <w:color w:val="263442"/>
          <w:sz w:val="19"/>
        </w:rPr>
        <w:t>Warning devices</w:t>
      </w:r>
    </w:p>
    <w:p>
      <w:pPr>
        <w:pStyle w:val="ListBullet"/>
        <w:spacing w:after="50"/>
        <w:ind w:left="369" w:hanging="170"/>
      </w:pPr>
      <w:r>
        <w:rPr>
          <w:rFonts w:ascii="Aptos" w:hAnsi="Aptos"/>
          <w:b w:val="0"/>
          <w:color w:val="263442"/>
          <w:sz w:val="19"/>
        </w:rPr>
        <w:t>Tekanan vents</w:t>
      </w:r>
    </w:p>
    <w:p>
      <w:pPr>
        <w:pStyle w:val="ListBullet"/>
        <w:spacing w:after="50"/>
        <w:ind w:left="369" w:hanging="170"/>
      </w:pPr>
      <w:r>
        <w:rPr>
          <w:rFonts w:ascii="Aptos" w:hAnsi="Aptos"/>
          <w:b w:val="0"/>
          <w:color w:val="263442"/>
          <w:sz w:val="19"/>
        </w:rPr>
        <w:t>Semua bahan kekal hendaklah mematuhi penyerahan yang diluluskan, boleh dijejaki jika diperlukan dan disimpan bagi mengelakkan kerosakan atau pencemaran.</w:t>
      </w:r>
    </w:p>
    <w:p>
      <w:pPr>
        <w:pStyle w:val="Heading1"/>
        <w:keepNext/>
        <w:spacing w:before="240" w:after="100"/>
      </w:pPr>
      <w:r>
        <w:rPr>
          <w:rFonts w:ascii="Aptos" w:hAnsi="Aptos"/>
          <w:b/>
          <w:color w:val="071E33"/>
          <w:sz w:val="28"/>
        </w:rPr>
        <w:t>6. LOJI, ALAT DAN PERALATAN</w:t>
      </w:r>
    </w:p>
    <w:p>
      <w:pPr>
        <w:pStyle w:val="ListBullet"/>
        <w:spacing w:after="50"/>
        <w:ind w:left="369" w:hanging="170"/>
      </w:pPr>
      <w:r>
        <w:rPr>
          <w:rFonts w:ascii="Aptos" w:hAnsi="Aptos"/>
          <w:b w:val="0"/>
          <w:color w:val="263442"/>
          <w:sz w:val="19"/>
        </w:rPr>
        <w:t>Cylinder handling peralatan</w:t>
      </w:r>
    </w:p>
    <w:p>
      <w:pPr>
        <w:pStyle w:val="ListBullet"/>
        <w:spacing w:after="50"/>
        <w:ind w:left="369" w:hanging="170"/>
      </w:pPr>
      <w:r>
        <w:rPr>
          <w:rFonts w:ascii="Aptos" w:hAnsi="Aptos"/>
          <w:b w:val="0"/>
          <w:color w:val="263442"/>
          <w:sz w:val="19"/>
        </w:rPr>
        <w:t>Tekanan uji tools</w:t>
      </w:r>
    </w:p>
    <w:p>
      <w:pPr>
        <w:pStyle w:val="ListBullet"/>
        <w:spacing w:after="50"/>
        <w:ind w:left="369" w:hanging="170"/>
      </w:pPr>
      <w:r>
        <w:rPr>
          <w:rFonts w:ascii="Aptos" w:hAnsi="Aptos"/>
          <w:b w:val="0"/>
          <w:color w:val="263442"/>
          <w:sz w:val="19"/>
        </w:rPr>
        <w:t>Door fan uji kit</w:t>
      </w:r>
    </w:p>
    <w:p>
      <w:pPr>
        <w:pStyle w:val="ListBullet"/>
        <w:spacing w:after="50"/>
        <w:ind w:left="369" w:hanging="170"/>
      </w:pPr>
      <w:r>
        <w:rPr>
          <w:rFonts w:ascii="Aptos" w:hAnsi="Aptos"/>
          <w:b w:val="0"/>
          <w:color w:val="263442"/>
          <w:sz w:val="19"/>
        </w:rPr>
        <w:t>Instrumen ujian elektrik</w:t>
      </w:r>
    </w:p>
    <w:p>
      <w:pPr>
        <w:pStyle w:val="ListBullet"/>
        <w:spacing w:after="50"/>
        <w:ind w:left="369" w:hanging="170"/>
      </w:pPr>
      <w:r>
        <w:rPr>
          <w:rFonts w:ascii="Aptos" w:hAnsi="Aptos"/>
          <w:b w:val="0"/>
          <w:color w:val="263442"/>
          <w:sz w:val="19"/>
        </w:rPr>
        <w:t>Kalibrasi scales</w:t>
      </w:r>
    </w:p>
    <w:p>
      <w:pPr>
        <w:pStyle w:val="ListBullet"/>
        <w:spacing w:after="50"/>
        <w:ind w:left="369" w:hanging="170"/>
      </w:pPr>
      <w:r>
        <w:rPr>
          <w:rFonts w:ascii="Aptos" w:hAnsi="Aptos"/>
          <w:b w:val="0"/>
          <w:color w:val="263442"/>
          <w:sz w:val="19"/>
        </w:rPr>
        <w:t>Peralatan pemeriksaan dan pengukuran dengan status kalibrasi atau pengesahan yang sah, jika berkenaan.</w:t>
      </w:r>
    </w:p>
    <w:p>
      <w:pPr>
        <w:pStyle w:val="ListBullet"/>
        <w:spacing w:after="50"/>
        <w:ind w:left="369" w:hanging="170"/>
      </w:pPr>
      <w:r>
        <w:rPr>
          <w:rFonts w:ascii="Aptos" w:hAnsi="Aptos"/>
          <w:b w:val="0"/>
          <w:color w:val="263442"/>
          <w:sz w:val="19"/>
        </w:rPr>
        <w:t>Akses, pencahayaan, penghadang, kawalan alam sekitar dan peralatan kecemasan yang sesuai.</w:t>
      </w:r>
    </w:p>
    <w:p>
      <w:pPr>
        <w:pStyle w:val="Heading1"/>
        <w:keepNext/>
        <w:spacing w:before="240" w:after="100"/>
      </w:pPr>
      <w:r>
        <w:rPr>
          <w:rFonts w:ascii="Aptos" w:hAnsi="Aptos"/>
          <w:b/>
          <w:color w:val="071E33"/>
          <w:sz w:val="28"/>
        </w:rPr>
        <w:t>7. KEPERLUAN SEBELUM MULA</w:t>
      </w:r>
    </w:p>
    <w:p>
      <w:pPr>
        <w:pStyle w:val="ListBullet"/>
        <w:spacing w:after="50"/>
        <w:ind w:left="369" w:hanging="170"/>
      </w:pPr>
      <w:r>
        <w:rPr>
          <w:rFonts w:ascii="Aptos" w:hAnsi="Aptos"/>
          <w:b w:val="0"/>
          <w:color w:val="263442"/>
          <w:sz w:val="19"/>
        </w:rPr>
        <w:t>Dokumen terkini yang diluluskan tersedia di kawasan kerja dan maklumat yang telah diganti telah ditarik balik.</w:t>
      </w:r>
    </w:p>
    <w:p>
      <w:pPr>
        <w:pStyle w:val="ListBullet"/>
        <w:spacing w:after="50"/>
        <w:ind w:left="369" w:hanging="170"/>
      </w:pPr>
      <w:r>
        <w:rPr>
          <w:rFonts w:ascii="Aptos" w:hAnsi="Aptos"/>
          <w:b w:val="0"/>
          <w:color w:val="263442"/>
          <w:sz w:val="19"/>
        </w:rPr>
        <w:t>Kawasan kerja, akses, trade terdahulu, datum dan interface perkhidmatan telah diperiksa dan dilepaskan.</w:t>
      </w:r>
    </w:p>
    <w:p>
      <w:pPr>
        <w:pStyle w:val="ListBullet"/>
        <w:spacing w:after="50"/>
        <w:ind w:left="369" w:hanging="170"/>
      </w:pPr>
      <w:r>
        <w:rPr>
          <w:rFonts w:ascii="Aptos" w:hAnsi="Aptos"/>
          <w:b w:val="0"/>
          <w:color w:val="263442"/>
          <w:sz w:val="19"/>
        </w:rPr>
        <w:t>Bahan telah diluluskan, tidak rosak, disimpan dengan betul dan disokong oleh sijil yang diperlukan.</w:t>
      </w:r>
    </w:p>
    <w:p>
      <w:pPr>
        <w:pStyle w:val="ListBullet"/>
        <w:spacing w:after="50"/>
        <w:ind w:left="369" w:hanging="170"/>
      </w:pPr>
      <w:r>
        <w:rPr>
          <w:rFonts w:ascii="Aptos" w:hAnsi="Aptos"/>
          <w:b w:val="0"/>
          <w:color w:val="263442"/>
          <w:sz w:val="19"/>
        </w:rPr>
        <w:t>Tenaga kerja adalah kompeten, telah diberi taklimat dan dilengkapi peralatan perlindungan diri khusus tugas.</w:t>
      </w:r>
    </w:p>
    <w:p>
      <w:pPr>
        <w:pStyle w:val="ListBullet"/>
        <w:spacing w:after="50"/>
        <w:ind w:left="369" w:hanging="170"/>
      </w:pPr>
      <w:r>
        <w:rPr>
          <w:rFonts w:ascii="Aptos" w:hAnsi="Aptos"/>
          <w:b w:val="0"/>
          <w:color w:val="263442"/>
          <w:sz w:val="19"/>
        </w:rPr>
        <w:t>Penilaian risiko, permit, pengaturan mengangkat dan kelulusan kerja sementara adalah sah jika berkenaan.</w:t>
      </w:r>
    </w:p>
    <w:p>
      <w:pPr>
        <w:pStyle w:val="ListBullet"/>
        <w:spacing w:after="50"/>
        <w:ind w:left="369" w:hanging="170"/>
      </w:pPr>
      <w:r>
        <w:rPr>
          <w:rFonts w:ascii="Aptos" w:hAnsi="Aptos"/>
          <w:b w:val="0"/>
          <w:color w:val="263442"/>
          <w:sz w:val="19"/>
        </w:rPr>
        <w:t>Permohonan pemeriksaan telah dirancang mengikut hold point dan witness point; tiada kerja boleh ditutup tanpa pelepasan.</w:t>
      </w:r>
    </w:p>
    <w:p>
      <w:pPr>
        <w:pStyle w:val="Heading1"/>
        <w:keepNext/>
        <w:spacing w:before="240" w:after="100"/>
      </w:pPr>
      <w:r>
        <w:rPr>
          <w:rFonts w:ascii="Aptos" w:hAnsi="Aptos"/>
          <w:b/>
          <w:color w:val="071E33"/>
          <w:sz w:val="28"/>
        </w:rPr>
        <w:t>8. KAEDAH PELAKSANAAN</w:t>
      </w:r>
    </w:p>
    <w:p>
      <w:pPr>
        <w:pStyle w:val="Heading2"/>
        <w:keepNext/>
        <w:spacing w:before="160" w:after="100"/>
      </w:pPr>
      <w:r>
        <w:rPr>
          <w:rFonts w:ascii="Aptos" w:hAnsi="Aptos"/>
          <w:b/>
          <w:color w:val="071E33"/>
          <w:sz w:val="22"/>
        </w:rPr>
        <w:t>8.1 Pelepasan Dokumen dan Kawasan Kerja</w:t>
      </w:r>
    </w:p>
    <w:p>
      <w:pPr>
        <w:keepLines/>
        <w:spacing w:after="80" w:line="269" w:lineRule="auto"/>
      </w:pPr>
      <w:r>
        <w:rPr>
          <w:rFonts w:ascii="Aptos" w:hAnsi="Aptos"/>
          <w:b w:val="0"/>
          <w:color w:val="263442"/>
          <w:sz w:val="19"/>
        </w:rPr>
        <w:t>Jurutera Tapak hendaklah mengesahkan bahawa lukisan terkini, spesifikasi, penyerahan bahan, maklumat koordinasi dan permit yang diluluskan bagi sistem pemadaman kebakaran agen bersih tersedia di kawasan kerja. Kawasan fizikal hendaklah diperiksa bersama Penyelia, wakil QA/QC dan trade terlibat. Sebarang percanggahan dimensi, aras, akses, interface atau keadaan tapak hendaklah direkod dan diselesaikan secara bertulis sebelum kerja fizikal dimulakan.</w:t>
      </w:r>
    </w:p>
    <w:p>
      <w:pPr>
        <w:pStyle w:val="Heading2"/>
        <w:keepNext/>
        <w:spacing w:before="160" w:after="100"/>
      </w:pPr>
      <w:r>
        <w:rPr>
          <w:rFonts w:ascii="Aptos" w:hAnsi="Aptos"/>
          <w:b/>
          <w:color w:val="071E33"/>
          <w:sz w:val="22"/>
        </w:rPr>
        <w:t>8.2 Sumber, Kompetensi dan Taklimat Harian</w:t>
      </w:r>
    </w:p>
    <w:p>
      <w:pPr>
        <w:keepLines/>
        <w:spacing w:after="80" w:line="269" w:lineRule="auto"/>
      </w:pPr>
      <w:r>
        <w:rPr>
          <w:rFonts w:ascii="Aptos" w:hAnsi="Aptos"/>
          <w:b w:val="0"/>
          <w:color w:val="263442"/>
          <w:sz w:val="19"/>
        </w:rPr>
        <w:t>Penyelia hendaklah mengesahkan tenaga kerja, operator pakar, loji, peralatan akses dan alat pengukur berkalibrasi berdasarkan output harian yang dirancang. Taklimat tugas hendaklah menerangkan urutan diluluskan, tanggungjawab individu, zon larangan, pengaturan kecemasan, titik pemeriksaan dan keadaan yang memerlukan kerja dihentikan. Rekod kehadiran dan bukti kompetensi hendaklah disimpan bersama rekod harian.</w:t>
      </w:r>
    </w:p>
    <w:p>
      <w:pPr>
        <w:pStyle w:val="Heading2"/>
        <w:keepNext/>
        <w:spacing w:before="160" w:after="100"/>
      </w:pPr>
      <w:r>
        <w:rPr>
          <w:rFonts w:ascii="Aptos" w:hAnsi="Aptos"/>
          <w:b/>
          <w:color w:val="071E33"/>
          <w:sz w:val="22"/>
        </w:rPr>
        <w:t>8.3 Penerimaan, Penyimpanan dan Kebolehkesanan Bahan</w:t>
      </w:r>
    </w:p>
    <w:p>
      <w:pPr>
        <w:keepLines/>
        <w:spacing w:after="80" w:line="269" w:lineRule="auto"/>
      </w:pPr>
      <w:r>
        <w:rPr>
          <w:rFonts w:ascii="Aptos" w:hAnsi="Aptos"/>
          <w:b w:val="0"/>
          <w:color w:val="263442"/>
          <w:sz w:val="19"/>
        </w:rPr>
        <w:t>Bahan yang diperlukan bagi aktiviti ini hendaklah diperiksa berdasarkan penyerahan diluluskan, delivery order, pengenalan produk dan keadaan visual sebelum diterima. Bahan yang dijangka ialah: Agent cylinders, Paip dan nozzles, Releasing panel, Warning devices, Tekanan vents. Item hendaklah diasingkan mengikut jenis atau batch, disimpan daripada pencemaran dan kerosakan serta dikeluarkan ke kawasan kerja dalam kuantiti yang boleh dipasang dan dilindungi dalam syif berkenaan. Bahan yang ditolak atau tidak dikenal pasti hendaklah dikuarantin.</w:t>
      </w:r>
    </w:p>
    <w:p>
      <w:pPr>
        <w:pStyle w:val="Heading2"/>
        <w:keepNext/>
        <w:spacing w:before="160" w:after="100"/>
      </w:pPr>
      <w:r>
        <w:rPr>
          <w:rFonts w:ascii="Aptos" w:hAnsi="Aptos"/>
          <w:b/>
          <w:color w:val="071E33"/>
          <w:sz w:val="22"/>
        </w:rPr>
        <w:t>8.4 Urutan Aktiviti</w:t>
      </w:r>
    </w:p>
    <w:p>
      <w:pPr>
        <w:keepLines/>
        <w:spacing w:after="80" w:line="269" w:lineRule="auto"/>
      </w:pPr>
      <w:r>
        <w:rPr>
          <w:rFonts w:ascii="Aptos" w:hAnsi="Aptos"/>
          <w:b w:val="0"/>
          <w:color w:val="263442"/>
          <w:sz w:val="19"/>
        </w:rPr>
        <w:t>Laksanakan kerja fizikal mengikut urutan berikut. Lukisan diluluskan, spesifikasi, reka bentuk temporary works, susunan lifting dan arahan pengilang hendaklah diguna pakai apabila keperluannya lebih khusus.</w:t>
      </w:r>
    </w:p>
    <w:p>
      <w:pPr>
        <w:keepLines/>
        <w:spacing w:after="100" w:line="269" w:lineRule="auto"/>
        <w:ind w:left="369" w:hanging="369"/>
      </w:pPr>
      <w:r>
        <w:rPr>
          <w:rFonts w:ascii="Aptos" w:hAnsi="Aptos"/>
          <w:b/>
          <w:color w:val="071E33"/>
          <w:sz w:val="19"/>
        </w:rPr>
        <w:t xml:space="preserve">1. Luluskan hydraulic calculations. </w:t>
      </w:r>
      <w:r>
        <w:rPr>
          <w:rFonts w:ascii="Aptos" w:hAnsi="Aptos"/>
          <w:b w:val="0"/>
          <w:color w:val="263442"/>
          <w:sz w:val="19"/>
        </w:rPr>
        <w:t>Luluskan hydraulic calculations, enclosure volume, nozzle susun atur dan cause-and-effect.</w:t>
      </w:r>
    </w:p>
    <w:p>
      <w:pPr>
        <w:keepLines/>
        <w:spacing w:after="100" w:line="269" w:lineRule="auto"/>
        <w:ind w:left="369" w:hanging="369"/>
      </w:pPr>
      <w:r>
        <w:rPr>
          <w:rFonts w:ascii="Aptos" w:hAnsi="Aptos"/>
          <w:b/>
          <w:color w:val="071E33"/>
          <w:sz w:val="19"/>
        </w:rPr>
        <w:t xml:space="preserve">2. Kukuhkan cylinders dan pasang paip. </w:t>
      </w:r>
      <w:r>
        <w:rPr>
          <w:rFonts w:ascii="Aptos" w:hAnsi="Aptos"/>
          <w:b w:val="0"/>
          <w:color w:val="263442"/>
          <w:sz w:val="19"/>
        </w:rPr>
        <w:t>Kukuhkan cylinders dan pasang paip, nozzles, sokongan dan tekanan-relief vents.</w:t>
      </w:r>
    </w:p>
    <w:p>
      <w:pPr>
        <w:keepLines/>
        <w:spacing w:after="100" w:line="269" w:lineRule="auto"/>
        <w:ind w:left="369" w:hanging="369"/>
      </w:pPr>
      <w:r>
        <w:rPr>
          <w:rFonts w:ascii="Aptos" w:hAnsi="Aptos"/>
          <w:b/>
          <w:color w:val="071E33"/>
          <w:sz w:val="19"/>
        </w:rPr>
        <w:t xml:space="preserve">3. Lengkapkan releasing kawalan. </w:t>
      </w:r>
      <w:r>
        <w:rPr>
          <w:rFonts w:ascii="Aptos" w:hAnsi="Aptos"/>
          <w:b w:val="0"/>
          <w:color w:val="263442"/>
          <w:sz w:val="19"/>
        </w:rPr>
        <w:t>Lengkapkan releasing kawalan, detection, abort, manual lepaskan dan warning interfaces.</w:t>
      </w:r>
    </w:p>
    <w:p>
      <w:pPr>
        <w:keepLines/>
        <w:spacing w:after="100" w:line="269" w:lineRule="auto"/>
        <w:ind w:left="369" w:hanging="369"/>
      </w:pPr>
      <w:r>
        <w:rPr>
          <w:rFonts w:ascii="Aptos" w:hAnsi="Aptos"/>
          <w:b/>
          <w:color w:val="071E33"/>
          <w:sz w:val="19"/>
        </w:rPr>
        <w:t xml:space="preserve">4. Tekanan-uji dan bersihkan paip. </w:t>
      </w:r>
      <w:r>
        <w:rPr>
          <w:rFonts w:ascii="Aptos" w:hAnsi="Aptos"/>
          <w:b w:val="0"/>
          <w:color w:val="263442"/>
          <w:sz w:val="19"/>
        </w:rPr>
        <w:t>Tekanan-uji dan bersihkan paip sebelum weighing dan connecting cylinders.</w:t>
      </w:r>
    </w:p>
    <w:p>
      <w:pPr>
        <w:keepLines/>
        <w:spacing w:after="100" w:line="269" w:lineRule="auto"/>
        <w:ind w:left="369" w:hanging="369"/>
      </w:pPr>
      <w:r>
        <w:rPr>
          <w:rFonts w:ascii="Aptos" w:hAnsi="Aptos"/>
          <w:b/>
          <w:color w:val="071E33"/>
          <w:sz w:val="19"/>
        </w:rPr>
        <w:t xml:space="preserve">5. Jalankan enclosure integrity. </w:t>
      </w:r>
      <w:r>
        <w:rPr>
          <w:rFonts w:ascii="Aptos" w:hAnsi="Aptos"/>
          <w:b w:val="0"/>
          <w:color w:val="263442"/>
          <w:sz w:val="19"/>
        </w:rPr>
        <w:t>Jalankan enclosure integrity dan predicted retention-time pengujian.</w:t>
      </w:r>
    </w:p>
    <w:p>
      <w:pPr>
        <w:keepLines/>
        <w:spacing w:after="100" w:line="269" w:lineRule="auto"/>
        <w:ind w:left="369" w:hanging="369"/>
      </w:pPr>
      <w:r>
        <w:rPr>
          <w:rFonts w:ascii="Aptos" w:hAnsi="Aptos"/>
          <w:b/>
          <w:color w:val="071E33"/>
          <w:sz w:val="19"/>
        </w:rPr>
        <w:t xml:space="preserve">6. Laksanakan witnessed functional ujian using isolated actuators. </w:t>
      </w:r>
      <w:r>
        <w:rPr>
          <w:rFonts w:ascii="Aptos" w:hAnsi="Aptos"/>
          <w:b w:val="0"/>
          <w:color w:val="263442"/>
          <w:sz w:val="19"/>
        </w:rPr>
        <w:t>Laksanakan witnessed functional ujian using isolated actuators sebelum arming  sistem.</w:t>
      </w:r>
    </w:p>
    <w:p>
      <w:pPr>
        <w:keepNext/>
        <w:spacing w:before="120" w:after="60"/>
      </w:pPr>
      <w:r>
        <w:rPr>
          <w:rFonts w:ascii="Aptos" w:hAnsi="Aptos"/>
          <w:b/>
          <w:color w:val="F2A51A"/>
          <w:sz w:val="20"/>
        </w:rPr>
        <w:t>Nota yang terpakai kepada keseluruhan Urutan Aktiviti</w:t>
      </w:r>
    </w:p>
    <w:p>
      <w:pPr>
        <w:pStyle w:val="ListBullet"/>
        <w:spacing w:after="50"/>
        <w:ind w:left="369" w:hanging="170"/>
      </w:pPr>
      <w:r>
        <w:rPr>
          <w:rFonts w:ascii="Aptos" w:hAnsi="Aptos"/>
          <w:b w:val="0"/>
          <w:color w:val="263442"/>
          <w:sz w:val="19"/>
        </w:rPr>
        <w:t>Kawalan mutu: gunakan kawalan ini bagi keseluruhan Urutan Aktiviti. Sahkan reka bentuk dan agent; cylinders dan paip; kawalan; tekanan dan kebersihan; room integrity; functional dan witnessed uji berdasarkan lukisan diluluskan, spesifikasi, data bahan, toleransi dipersetujui serta Pelan Pemeriksaan dan Pengujian. Dapatkan pelepasan hold point atau witness point yang diperlukan sebelum kerja ditutup atau diteruskan melepasi peringkat terkawal.</w:t>
      </w:r>
    </w:p>
    <w:p>
      <w:pPr>
        <w:pStyle w:val="ListBullet"/>
        <w:spacing w:after="50"/>
        <w:ind w:left="369" w:hanging="170"/>
      </w:pPr>
      <w:r>
        <w:rPr>
          <w:rFonts w:ascii="Aptos" w:hAnsi="Aptos"/>
          <w:b w:val="0"/>
          <w:color w:val="263442"/>
          <w:sz w:val="19"/>
        </w:rPr>
        <w:t>Kawalan keselamatan dan interface: kekalkan kawalan risiko, permit, akses dan zon larangan yang diluluskan bagi accidental discharge; asphyxiation; stored tekanan; heavy cylinders; renjatan elektrik. Selaraskan kawasan kerja dengan trade terdahulu dan seterusnya, lindungi kerja siap serta kerja bersebelahan, dan hentikan aktiviti apabila keadaan tapak berbeza daripada susunan diluluskan.</w:t>
      </w:r>
    </w:p>
    <w:p>
      <w:pPr>
        <w:pStyle w:val="ListBullet"/>
        <w:spacing w:after="50"/>
        <w:ind w:left="369" w:hanging="170"/>
      </w:pPr>
      <w:r>
        <w:rPr>
          <w:rFonts w:ascii="Aptos" w:hAnsi="Aptos"/>
          <w:b w:val="0"/>
          <w:color w:val="263442"/>
          <w:sz w:val="19"/>
        </w:rPr>
        <w:t>Rekod: simpan lukisan dan penyerahan diluluskan, rekod penghantaran dan kebolehkesanan bahan, laporan harian, permohonan pemeriksaan, senarai semak, keputusan ujian dan ukur, permit, gambar, penutupan ketidakpatuhan serta rekod penyerahan yang berkaitan dengan keseluruhan Urutan Aktiviti.</w:t>
      </w:r>
    </w:p>
    <w:p>
      <w:pPr>
        <w:pStyle w:val="Heading2"/>
        <w:keepNext/>
        <w:spacing w:before="160" w:after="100"/>
      </w:pPr>
      <w:r>
        <w:rPr>
          <w:rFonts w:ascii="Aptos" w:hAnsi="Aptos"/>
          <w:b/>
          <w:color w:val="071E33"/>
          <w:sz w:val="22"/>
        </w:rPr>
        <w:t>8.5 Pemeriksaan Akhir, Pembetulan dan Perlindungan</w:t>
      </w:r>
    </w:p>
    <w:p>
      <w:pPr>
        <w:keepLines/>
        <w:spacing w:after="80" w:line="269" w:lineRule="auto"/>
      </w:pPr>
      <w:r>
        <w:rPr>
          <w:rFonts w:ascii="Aptos" w:hAnsi="Aptos"/>
          <w:b w:val="0"/>
          <w:color w:val="263442"/>
          <w:sz w:val="19"/>
        </w:rPr>
        <w:t>Selepas seksyen kerja ditetapkan siap, Penyelia dan wakil QA/QC hendaklah menjalankan pemeriksaan sistematik menggunakan senarai semak diluluskan. Kecacatan, interface tidak lengkap, kerosakan, pencemaran atau kerja di luar toleransi hendaklah ditanda dan dibaiki menggunakan prosedur diterima. Kerja siap hendaklah dilindungi daripada trafik, cuaca, hentaman, trade seterusnya dan beban pramatang sehingga diterima secara rasmi.</w:t>
      </w:r>
    </w:p>
    <w:p>
      <w:pPr>
        <w:pStyle w:val="Heading2"/>
        <w:keepNext/>
        <w:spacing w:before="160" w:after="100"/>
      </w:pPr>
      <w:r>
        <w:rPr>
          <w:rFonts w:ascii="Aptos" w:hAnsi="Aptos"/>
          <w:b/>
          <w:color w:val="071E33"/>
          <w:sz w:val="22"/>
        </w:rPr>
        <w:t>8.6 Pengujian, Rekod dan Penyerahan</w:t>
      </w:r>
    </w:p>
    <w:p>
      <w:pPr>
        <w:keepLines/>
        <w:spacing w:after="80" w:line="269" w:lineRule="auto"/>
      </w:pPr>
      <w:r>
        <w:rPr>
          <w:rFonts w:ascii="Aptos" w:hAnsi="Aptos"/>
          <w:b w:val="0"/>
          <w:color w:val="263442"/>
          <w:sz w:val="19"/>
        </w:rPr>
        <w:t>Jurutera Tapak hendaklah mengumpulkan permohonan pemeriksaan, laporan ujian, maklumat ukur, rekod penghantaran dan kebolehkesanan, permit, gambar, penutupan ketidakpatuhan serta data as-built yang berkaitan. Kawasan siap hanya boleh diserahkan bersama kepada trade seterusnya atau Perunding selepas semua hold point, keputusan ujian, ulasan dan perkara tertunggak ditutup atau dipersetujui secara rasmi.</w:t>
      </w:r>
    </w:p>
    <w:p>
      <w:pPr>
        <w:pStyle w:val="Heading1"/>
        <w:keepNext/>
        <w:spacing w:before="240" w:after="100"/>
      </w:pPr>
      <w:r>
        <w:rPr>
          <w:rFonts w:ascii="Aptos" w:hAnsi="Aptos"/>
          <w:b/>
          <w:color w:val="071E33"/>
          <w:sz w:val="28"/>
        </w:rPr>
        <w:t>9. PEMERIKSAAN DAN KAWALAN MUTU</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2324"/>
            <w:shd w:fill="071E33"/>
            <w:tcMar>
              <w:top w:w="120" w:type="dxa"/>
              <w:start w:w="140" w:type="dxa"/>
              <w:bottom w:w="120" w:type="dxa"/>
              <w:end w:w="140" w:type="dxa"/>
            </w:tcMar>
            <w:vAlign w:val="center"/>
          </w:tcPr>
          <w:p>
            <w:pPr>
              <w:spacing w:after="0"/>
              <w:jc w:val="left"/>
            </w:pPr>
            <w:r>
              <w:t>Peringkat / Pemeriksaan</w:t>
            </w:r>
            <w:r>
              <w:rPr>
                <w:rFonts w:ascii="Aptos" w:hAnsi="Aptos"/>
                <w:b/>
                <w:color w:val="FFFFFF"/>
                <w:sz w:val="17"/>
              </w:rPr>
            </w:r>
          </w:p>
        </w:tc>
        <w:tc>
          <w:tcPr>
            <w:tcW w:type="dxa" w:w="3402"/>
            <w:shd w:fill="071E33"/>
            <w:tcMar>
              <w:top w:w="120" w:type="dxa"/>
              <w:start w:w="140" w:type="dxa"/>
              <w:bottom w:w="120" w:type="dxa"/>
              <w:end w:w="140" w:type="dxa"/>
            </w:tcMar>
            <w:vAlign w:val="center"/>
          </w:tcPr>
          <w:p>
            <w:pPr>
              <w:spacing w:after="0"/>
              <w:jc w:val="left"/>
            </w:pPr>
            <w:r>
              <w:t>Asas penerimaan</w:t>
            </w:r>
            <w:r>
              <w:rPr>
                <w:rFonts w:ascii="Aptos" w:hAnsi="Aptos"/>
                <w:b/>
                <w:color w:val="FFFFFF"/>
                <w:sz w:val="17"/>
              </w:rPr>
            </w:r>
          </w:p>
        </w:tc>
        <w:tc>
          <w:tcPr>
            <w:tcW w:type="dxa" w:w="2835"/>
            <w:shd w:fill="071E33"/>
            <w:tcMar>
              <w:top w:w="120" w:type="dxa"/>
              <w:start w:w="140" w:type="dxa"/>
              <w:bottom w:w="120" w:type="dxa"/>
              <w:end w:w="140" w:type="dxa"/>
            </w:tcMar>
            <w:vAlign w:val="center"/>
          </w:tcPr>
          <w:p>
            <w:pPr>
              <w:spacing w:after="0"/>
              <w:jc w:val="left"/>
            </w:pPr>
            <w:r>
              <w:t>Rekod</w:t>
            </w:r>
            <w:r>
              <w:rPr>
                <w:rFonts w:ascii="Aptos" w:hAnsi="Aptos"/>
                <w:b/>
                <w:color w:val="FFFFFF"/>
                <w:sz w:val="17"/>
              </w:rPr>
            </w:r>
          </w:p>
        </w:tc>
        <w:tc>
          <w:tcPr>
            <w:tcW w:type="dxa" w:w="794"/>
            <w:shd w:fill="071E33"/>
            <w:tcMar>
              <w:top w:w="120" w:type="dxa"/>
              <w:start w:w="140" w:type="dxa"/>
              <w:bottom w:w="120" w:type="dxa"/>
              <w:end w:w="140" w:type="dxa"/>
            </w:tcMar>
            <w:vAlign w:val="center"/>
          </w:tcPr>
          <w:p>
            <w:pPr>
              <w:spacing w:after="0"/>
              <w:jc w:val="left"/>
            </w:pPr>
            <w:r>
              <w:t>Titik</w:t>
            </w:r>
            <w:r>
              <w:rPr>
                <w:rFonts w:ascii="Aptos" w:hAnsi="Aptos"/>
                <w:b/>
                <w:color w:val="FFFFFF"/>
                <w:sz w:val="17"/>
              </w:rPr>
            </w:r>
          </w:p>
        </w:tc>
      </w:tr>
      <w:tr>
        <w:trPr>
          <w:cantSplit/>
        </w:trPr>
        <w:tc>
          <w:tcPr>
            <w:tcW w:type="dxa" w:w="2324"/>
            <w:tcMar>
              <w:top w:w="120" w:type="dxa"/>
              <w:start w:w="140" w:type="dxa"/>
              <w:bottom w:w="120" w:type="dxa"/>
              <w:end w:w="140" w:type="dxa"/>
            </w:tcMar>
            <w:vAlign w:val="center"/>
          </w:tcPr>
          <w:p>
            <w:pPr>
              <w:spacing w:after="0"/>
              <w:jc w:val="left"/>
            </w:pPr>
            <w:r>
              <w:t>Reka bentuk dan agent</w:t>
            </w:r>
            <w:r>
              <w:rPr>
                <w:rFonts w:ascii="Aptos" w:hAnsi="Aptos"/>
                <w:b w:val="0"/>
                <w:color w:val="263442"/>
                <w:sz w:val="17"/>
              </w:rPr>
            </w:r>
          </w:p>
        </w:tc>
        <w:tc>
          <w:tcPr>
            <w:tcW w:type="dxa" w:w="3402"/>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H</w:t>
            </w:r>
          </w:p>
        </w:tc>
      </w:tr>
      <w:tr>
        <w:trPr>
          <w:cantSplit/>
        </w:trPr>
        <w:tc>
          <w:tcPr>
            <w:tcW w:type="dxa" w:w="2324"/>
            <w:shd w:fill="F4F7FA"/>
            <w:tcMar>
              <w:top w:w="120" w:type="dxa"/>
              <w:start w:w="140" w:type="dxa"/>
              <w:bottom w:w="120" w:type="dxa"/>
              <w:end w:w="140" w:type="dxa"/>
            </w:tcMar>
            <w:vAlign w:val="center"/>
          </w:tcPr>
          <w:p>
            <w:pPr>
              <w:spacing w:after="0"/>
              <w:jc w:val="left"/>
            </w:pPr>
            <w:r>
              <w:t>Cylinders dan paip</w:t>
            </w:r>
            <w:r>
              <w:rPr>
                <w:rFonts w:ascii="Aptos" w:hAnsi="Aptos"/>
                <w:b w:val="0"/>
                <w:color w:val="263442"/>
                <w:sz w:val="17"/>
              </w:rPr>
            </w:r>
          </w:p>
        </w:tc>
        <w:tc>
          <w:tcPr>
            <w:tcW w:type="dxa" w:w="3402"/>
            <w:shd w:fill="F4F7FA"/>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shd w:fill="F4F7FA"/>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t>Kawalan</w:t>
            </w:r>
            <w:r>
              <w:rPr>
                <w:rFonts w:ascii="Aptos" w:hAnsi="Aptos"/>
                <w:b w:val="0"/>
                <w:color w:val="263442"/>
                <w:sz w:val="17"/>
              </w:rPr>
            </w:r>
          </w:p>
        </w:tc>
        <w:tc>
          <w:tcPr>
            <w:tcW w:type="dxa" w:w="3402"/>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t>Tekanan dan kebersihan</w:t>
            </w:r>
            <w:r>
              <w:rPr>
                <w:rFonts w:ascii="Aptos" w:hAnsi="Aptos"/>
                <w:b w:val="0"/>
                <w:color w:val="263442"/>
                <w:sz w:val="17"/>
              </w:rPr>
            </w:r>
          </w:p>
        </w:tc>
        <w:tc>
          <w:tcPr>
            <w:tcW w:type="dxa" w:w="3402"/>
            <w:shd w:fill="F4F7FA"/>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shd w:fill="F4F7FA"/>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Room integrity</w:t>
            </w:r>
          </w:p>
        </w:tc>
        <w:tc>
          <w:tcPr>
            <w:tcW w:type="dxa" w:w="3402"/>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t>Functional dan witnessed uji</w:t>
            </w:r>
            <w:r>
              <w:rPr>
                <w:rFonts w:ascii="Aptos" w:hAnsi="Aptos"/>
                <w:b w:val="0"/>
                <w:color w:val="263442"/>
                <w:sz w:val="17"/>
              </w:rPr>
            </w:r>
          </w:p>
        </w:tc>
        <w:tc>
          <w:tcPr>
            <w:tcW w:type="dxa" w:w="3402"/>
            <w:shd w:fill="F4F7FA"/>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shd w:fill="F4F7FA"/>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H</w:t>
            </w:r>
          </w:p>
        </w:tc>
      </w:tr>
    </w:tbl>
    <w:p>
      <w:r>
        <w:rPr>
          <w:rFonts w:ascii="Aptos" w:hAnsi="Aptos"/>
          <w:b w:val="0"/>
          <w:color w:val="5E6B78"/>
          <w:sz w:val="17"/>
        </w:rPr>
        <w:t>H = Hold point: jangan teruskan tanpa pelepasan. W = Witness point: berikan notis dan teruskan hanya di bawah Pelan Pemeriksaan dan Pengujian yang diluluskan.</w:t>
      </w:r>
    </w:p>
    <w:p>
      <w:pPr>
        <w:pStyle w:val="Heading1"/>
        <w:keepNext/>
        <w:spacing w:before="240" w:after="100"/>
      </w:pPr>
      <w:r>
        <w:rPr>
          <w:rFonts w:ascii="Aptos" w:hAnsi="Aptos"/>
          <w:b/>
          <w:color w:val="071E33"/>
          <w:sz w:val="28"/>
        </w:rPr>
        <w:t>10. KESELAMATAN, KESIHATAN DAN ALAM SEKITAR</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91"/>
            <w:shd w:fill="071E33"/>
            <w:tcMar>
              <w:top w:w="120" w:type="dxa"/>
              <w:start w:w="140" w:type="dxa"/>
              <w:bottom w:w="120" w:type="dxa"/>
              <w:end w:w="140" w:type="dxa"/>
            </w:tcMar>
            <w:vAlign w:val="center"/>
          </w:tcPr>
          <w:p>
            <w:pPr>
              <w:spacing w:after="0"/>
              <w:jc w:val="left"/>
            </w:pPr>
            <w:r>
              <w:t>Bahaya / Aspek</w:t>
            </w:r>
            <w:r>
              <w:rPr>
                <w:rFonts w:ascii="Aptos" w:hAnsi="Aptos"/>
                <w:b/>
                <w:color w:val="FFFFFF"/>
                <w:sz w:val="17"/>
              </w:rPr>
            </w:r>
          </w:p>
        </w:tc>
        <w:tc>
          <w:tcPr>
            <w:tcW w:type="dxa" w:w="6746"/>
            <w:shd w:fill="071E33"/>
            <w:tcMar>
              <w:top w:w="120" w:type="dxa"/>
              <w:start w:w="140" w:type="dxa"/>
              <w:bottom w:w="120" w:type="dxa"/>
              <w:end w:w="140" w:type="dxa"/>
            </w:tcMar>
            <w:vAlign w:val="center"/>
          </w:tcPr>
          <w:p>
            <w:pPr>
              <w:spacing w:after="0"/>
              <w:jc w:val="left"/>
            </w:pPr>
            <w:r>
              <w:t>Kawalan minimum</w:t>
            </w:r>
            <w:r>
              <w:rPr>
                <w:rFonts w:ascii="Aptos" w:hAnsi="Aptos"/>
                <w:b/>
                <w:color w:val="FFFFFF"/>
                <w:sz w:val="17"/>
              </w:rPr>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Accidental discharge</w:t>
            </w:r>
          </w:p>
        </w:tc>
        <w:tc>
          <w:tcPr>
            <w:tcW w:type="dxa" w:w="6746"/>
            <w:tcMar>
              <w:top w:w="120" w:type="dxa"/>
              <w:start w:w="140" w:type="dxa"/>
              <w:bottom w:w="120" w:type="dxa"/>
              <w:end w:w="140" w:type="dxa"/>
            </w:tcMar>
            <w:vAlign w:val="center"/>
          </w:tcPr>
          <w:p>
            <w:pPr>
              <w:spacing w:after="0"/>
              <w:jc w:val="left"/>
            </w:pPr>
            <w:r>
              <w:t>Gunakan penilaian risiko tugas, penyeliaan kompeten, zon larangan dan permit yang diperlukan.</w:t>
            </w:r>
            <w:r>
              <w:rPr>
                <w:rFonts w:ascii="Aptos" w:hAnsi="Aptos"/>
                <w:b w:val="0"/>
                <w:color w:val="263442"/>
                <w:sz w:val="17"/>
              </w:rPr>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Asphyxiation</w:t>
            </w:r>
          </w:p>
        </w:tc>
        <w:tc>
          <w:tcPr>
            <w:tcW w:type="dxa" w:w="6746"/>
            <w:shd w:fill="F4F7FA"/>
            <w:tcMar>
              <w:top w:w="120" w:type="dxa"/>
              <w:start w:w="140" w:type="dxa"/>
              <w:bottom w:w="120" w:type="dxa"/>
              <w:end w:w="140" w:type="dxa"/>
            </w:tcMar>
            <w:vAlign w:val="center"/>
          </w:tcPr>
          <w:p>
            <w:pPr>
              <w:spacing w:after="0"/>
              <w:jc w:val="left"/>
            </w:pPr>
            <w:r>
              <w:t>Gunakan loji yang diperiksa, akses sesuai dan pengasingan fizikal daripada orang atau operasi aktif.</w:t>
            </w:r>
            <w:r>
              <w:rPr>
                <w:rFonts w:ascii="Aptos" w:hAnsi="Aptos"/>
                <w:b w:val="0"/>
                <w:color w:val="263442"/>
                <w:sz w:val="17"/>
              </w:rPr>
            </w:r>
          </w:p>
        </w:tc>
      </w:tr>
      <w:tr>
        <w:trPr>
          <w:cantSplit/>
        </w:trPr>
        <w:tc>
          <w:tcPr>
            <w:tcW w:type="dxa" w:w="2891"/>
            <w:tcMar>
              <w:top w:w="120" w:type="dxa"/>
              <w:start w:w="140" w:type="dxa"/>
              <w:bottom w:w="120" w:type="dxa"/>
              <w:end w:w="140" w:type="dxa"/>
            </w:tcMar>
            <w:vAlign w:val="center"/>
          </w:tcPr>
          <w:p>
            <w:pPr>
              <w:spacing w:after="0"/>
              <w:jc w:val="left"/>
            </w:pPr>
            <w:r>
              <w:t>Stored tekanan</w:t>
            </w:r>
            <w:r>
              <w:rPr>
                <w:rFonts w:ascii="Aptos" w:hAnsi="Aptos"/>
                <w:b w:val="0"/>
                <w:color w:val="263442"/>
                <w:sz w:val="17"/>
              </w:rPr>
            </w:r>
          </w:p>
        </w:tc>
        <w:tc>
          <w:tcPr>
            <w:tcW w:type="dxa" w:w="6746"/>
            <w:tcMar>
              <w:top w:w="120" w:type="dxa"/>
              <w:start w:w="140" w:type="dxa"/>
              <w:bottom w:w="120" w:type="dxa"/>
              <w:end w:w="140" w:type="dxa"/>
            </w:tcMar>
            <w:vAlign w:val="center"/>
          </w:tcPr>
          <w:p>
            <w:pPr>
              <w:spacing w:after="0"/>
              <w:jc w:val="left"/>
            </w:pPr>
            <w:r>
              <w:t>Pakai PPE khusus tugas dan kawal pendedahan pada punca melalui pengadang, pengudaraan atau kaedah basah.</w:t>
            </w:r>
            <w:r>
              <w:rPr>
                <w:rFonts w:ascii="Aptos" w:hAnsi="Aptos"/>
                <w:b w:val="0"/>
                <w:color w:val="263442"/>
                <w:sz w:val="17"/>
              </w:rPr>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Heavy cylinders</w:t>
            </w:r>
          </w:p>
        </w:tc>
        <w:tc>
          <w:tcPr>
            <w:tcW w:type="dxa" w:w="6746"/>
            <w:shd w:fill="F4F7FA"/>
            <w:tcMar>
              <w:top w:w="120" w:type="dxa"/>
              <w:start w:w="140" w:type="dxa"/>
              <w:bottom w:w="120" w:type="dxa"/>
              <w:end w:w="140" w:type="dxa"/>
            </w:tcMar>
            <w:vAlign w:val="center"/>
          </w:tcPr>
          <w:p>
            <w:pPr>
              <w:spacing w:after="0"/>
              <w:jc w:val="left"/>
            </w:pPr>
            <w:r>
              <w:t>Sediakan pelan pemulihan, komunikasi kecemasan serta peralatan pertolongan cemas atau menyelamat yang sesuai dengan risiko.</w:t>
            </w:r>
            <w:r>
              <w:rPr>
                <w:rFonts w:ascii="Aptos" w:hAnsi="Aptos"/>
                <w:b w:val="0"/>
                <w:color w:val="263442"/>
                <w:sz w:val="17"/>
              </w:rPr>
            </w:r>
          </w:p>
        </w:tc>
      </w:tr>
      <w:tr>
        <w:trPr>
          <w:cantSplit/>
        </w:trPr>
        <w:tc>
          <w:tcPr>
            <w:tcW w:type="dxa" w:w="2891"/>
            <w:tcMar>
              <w:top w:w="120" w:type="dxa"/>
              <w:start w:w="140" w:type="dxa"/>
              <w:bottom w:w="120" w:type="dxa"/>
              <w:end w:w="140" w:type="dxa"/>
            </w:tcMar>
            <w:vAlign w:val="center"/>
          </w:tcPr>
          <w:p>
            <w:pPr>
              <w:spacing w:after="0"/>
              <w:jc w:val="left"/>
            </w:pPr>
            <w:r>
              <w:t>Renjatan elektrik</w:t>
            </w:r>
            <w:r>
              <w:rPr>
                <w:rFonts w:ascii="Aptos" w:hAnsi="Aptos"/>
                <w:b w:val="0"/>
                <w:color w:val="263442"/>
                <w:sz w:val="17"/>
              </w:rPr>
            </w:r>
          </w:p>
        </w:tc>
        <w:tc>
          <w:tcPr>
            <w:tcW w:type="dxa" w:w="6746"/>
            <w:tcMar>
              <w:top w:w="120" w:type="dxa"/>
              <w:start w:w="140" w:type="dxa"/>
              <w:bottom w:w="120" w:type="dxa"/>
              <w:end w:w="140" w:type="dxa"/>
            </w:tcMar>
            <w:vAlign w:val="center"/>
          </w:tcPr>
          <w:p>
            <w:pPr>
              <w:spacing w:after="0"/>
              <w:jc w:val="left"/>
            </w:pPr>
            <w:r>
              <w:t>Gunakan penilaian risiko tugas, penyeliaan kompeten, zon larangan dan permit yang diperlukan.</w:t>
            </w:r>
            <w:r>
              <w:rPr>
                <w:rFonts w:ascii="Aptos" w:hAnsi="Aptos"/>
                <w:b w:val="0"/>
                <w:color w:val="263442"/>
                <w:sz w:val="17"/>
              </w:rPr>
            </w:r>
          </w:p>
        </w:tc>
      </w:tr>
      <w:tr>
        <w:trPr>
          <w:cantSplit/>
        </w:trPr>
        <w:tc>
          <w:tcPr>
            <w:tcW w:type="dxa" w:w="2891"/>
            <w:shd w:fill="F4F7FA"/>
            <w:tcMar>
              <w:top w:w="120" w:type="dxa"/>
              <w:start w:w="140" w:type="dxa"/>
              <w:bottom w:w="120" w:type="dxa"/>
              <w:end w:w="140" w:type="dxa"/>
            </w:tcMar>
            <w:vAlign w:val="center"/>
          </w:tcPr>
          <w:p>
            <w:pPr>
              <w:spacing w:after="0"/>
              <w:jc w:val="left"/>
            </w:pPr>
            <w:r>
              <w:t>Sisa dan pencemaran</w:t>
            </w:r>
            <w:r>
              <w:rPr>
                <w:rFonts w:ascii="Aptos" w:hAnsi="Aptos"/>
                <w:b w:val="0"/>
                <w:color w:val="263442"/>
                <w:sz w:val="17"/>
              </w:rPr>
            </w:r>
          </w:p>
        </w:tc>
        <w:tc>
          <w:tcPr>
            <w:tcW w:type="dxa" w:w="6746"/>
            <w:shd w:fill="F4F7FA"/>
            <w:tcMar>
              <w:top w:w="120" w:type="dxa"/>
              <w:start w:w="140" w:type="dxa"/>
              <w:bottom w:w="120" w:type="dxa"/>
              <w:end w:w="140" w:type="dxa"/>
            </w:tcMar>
            <w:vAlign w:val="center"/>
          </w:tcPr>
          <w:p>
            <w:pPr>
              <w:spacing w:after="0"/>
              <w:jc w:val="left"/>
            </w:pPr>
            <w:r>
              <w:t>Asingkan sisa, cegah pelepasan ke longkang, kawal tumpahan dan simpan rekod pelupusan.</w:t>
            </w:r>
            <w:r>
              <w:rPr>
                <w:rFonts w:ascii="Aptos" w:hAnsi="Aptos"/>
                <w:b w:val="0"/>
                <w:color w:val="263442"/>
                <w:sz w:val="17"/>
              </w:rPr>
            </w:r>
          </w:p>
        </w:tc>
      </w:tr>
      <w:tr>
        <w:trPr>
          <w:cantSplit/>
        </w:trPr>
        <w:tc>
          <w:tcPr>
            <w:tcW w:type="dxa" w:w="2891"/>
            <w:tcMar>
              <w:top w:w="120" w:type="dxa"/>
              <w:start w:w="140" w:type="dxa"/>
              <w:bottom w:w="120" w:type="dxa"/>
              <w:end w:w="140" w:type="dxa"/>
            </w:tcMar>
            <w:vAlign w:val="center"/>
          </w:tcPr>
          <w:p>
            <w:pPr>
              <w:spacing w:after="0"/>
              <w:jc w:val="left"/>
            </w:pPr>
            <w:r>
              <w:t>Bunyi bising, habuk dan gangguan</w:t>
            </w:r>
            <w:r>
              <w:rPr>
                <w:rFonts w:ascii="Aptos" w:hAnsi="Aptos"/>
                <w:b w:val="0"/>
                <w:color w:val="263442"/>
                <w:sz w:val="17"/>
              </w:rPr>
            </w:r>
          </w:p>
        </w:tc>
        <w:tc>
          <w:tcPr>
            <w:tcW w:type="dxa" w:w="6746"/>
            <w:tcMar>
              <w:top w:w="120" w:type="dxa"/>
              <w:start w:w="140" w:type="dxa"/>
              <w:bottom w:w="120" w:type="dxa"/>
              <w:end w:w="140" w:type="dxa"/>
            </w:tcMar>
            <w:vAlign w:val="center"/>
          </w:tcPr>
          <w:p>
            <w:pPr>
              <w:spacing w:after="0"/>
              <w:jc w:val="left"/>
            </w:pPr>
            <w:r>
              <w:t>Gunakan peralatan yang disenggara, kaedah kawalan dan waktu kerja diluluskan; pantau apabila diperlukan.</w:t>
            </w:r>
            <w:r>
              <w:rPr>
                <w:rFonts w:ascii="Aptos" w:hAnsi="Aptos"/>
                <w:b w:val="0"/>
                <w:color w:val="263442"/>
                <w:sz w:val="17"/>
              </w:rPr>
            </w:r>
          </w:p>
        </w:tc>
      </w:tr>
    </w:tbl>
    <w:p>
      <w:pPr>
        <w:pStyle w:val="Heading1"/>
        <w:keepNext/>
        <w:spacing w:before="240" w:after="100"/>
      </w:pPr>
      <w:r>
        <w:rPr>
          <w:rFonts w:ascii="Aptos" w:hAnsi="Aptos"/>
          <w:b/>
          <w:color w:val="071E33"/>
          <w:sz w:val="28"/>
        </w:rPr>
        <w:t>11. KETIDAKPATUHAN DAN TINDAKAN PEMBETULAN</w:t>
      </w:r>
    </w:p>
    <w:p>
      <w:pPr>
        <w:pStyle w:val="ListBullet"/>
        <w:spacing w:after="50"/>
        <w:ind w:left="369" w:hanging="170"/>
      </w:pPr>
      <w:r>
        <w:rPr>
          <w:rFonts w:ascii="Aptos" w:hAnsi="Aptos"/>
          <w:b w:val="0"/>
          <w:color w:val="263442"/>
          <w:sz w:val="19"/>
        </w:rPr>
        <w:t>Hentikan dan kenal pasti kerja yang tidak memenuhi keperluan diluluskan.</w:t>
      </w:r>
    </w:p>
    <w:p>
      <w:pPr>
        <w:pStyle w:val="ListBullet"/>
        <w:spacing w:after="50"/>
        <w:ind w:left="369" w:hanging="170"/>
      </w:pPr>
      <w:r>
        <w:rPr>
          <w:rFonts w:ascii="Aptos" w:hAnsi="Aptos"/>
          <w:b w:val="0"/>
          <w:color w:val="263442"/>
          <w:sz w:val="19"/>
        </w:rPr>
        <w:t>Lindungi kawasan terjejas dan keluarkan rekod ketidakpatuhan projek jika diperlukan.</w:t>
      </w:r>
    </w:p>
    <w:p>
      <w:pPr>
        <w:pStyle w:val="ListBullet"/>
        <w:spacing w:after="50"/>
        <w:ind w:left="369" w:hanging="170"/>
      </w:pPr>
      <w:r>
        <w:rPr>
          <w:rFonts w:ascii="Aptos" w:hAnsi="Aptos"/>
          <w:b w:val="0"/>
          <w:color w:val="263442"/>
          <w:sz w:val="19"/>
        </w:rPr>
        <w:t>Jangan baiki, alih atau tutup kerja tidak patuh sehingga arahan pelupusan yang dibenarkan dikeluarkan.</w:t>
      </w:r>
    </w:p>
    <w:p>
      <w:pPr>
        <w:pStyle w:val="ListBullet"/>
        <w:spacing w:after="50"/>
        <w:ind w:left="369" w:hanging="170"/>
      </w:pPr>
      <w:r>
        <w:rPr>
          <w:rFonts w:ascii="Aptos" w:hAnsi="Aptos"/>
          <w:b w:val="0"/>
          <w:color w:val="263442"/>
          <w:sz w:val="19"/>
        </w:rPr>
        <w:t>Periksa semula dan tutup rekod dengan bukti sokongan selepas kerja pembetulan.</w:t>
      </w:r>
    </w:p>
    <w:p>
      <w:pPr>
        <w:pStyle w:val="Heading1"/>
        <w:keepNext/>
        <w:spacing w:before="240" w:after="100"/>
      </w:pPr>
      <w:r>
        <w:rPr>
          <w:rFonts w:ascii="Aptos" w:hAnsi="Aptos"/>
          <w:b/>
          <w:color w:val="071E33"/>
          <w:sz w:val="28"/>
        </w:rPr>
        <w:t>12. REKOD</w:t>
      </w:r>
    </w:p>
    <w:p>
      <w:pPr>
        <w:pStyle w:val="ListBullet"/>
        <w:spacing w:after="50"/>
        <w:ind w:left="369" w:hanging="170"/>
      </w:pPr>
      <w:r>
        <w:rPr>
          <w:rFonts w:ascii="Aptos" w:hAnsi="Aptos"/>
          <w:b w:val="0"/>
          <w:color w:val="263442"/>
          <w:sz w:val="19"/>
        </w:rPr>
        <w:t>Penyata kaedah, penilaian risiko, permit dan kehadiran taklimat toolbox yang diluluskan.</w:t>
      </w:r>
    </w:p>
    <w:p>
      <w:pPr>
        <w:pStyle w:val="ListBullet"/>
        <w:spacing w:after="50"/>
        <w:ind w:left="369" w:hanging="170"/>
      </w:pPr>
      <w:r>
        <w:rPr>
          <w:rFonts w:ascii="Aptos" w:hAnsi="Aptos"/>
          <w:b w:val="0"/>
          <w:color w:val="263442"/>
          <w:sz w:val="19"/>
        </w:rPr>
        <w:t>Kelulusan bahan, rekod penghantaran, sijil dan rekod kebolehkesanan.</w:t>
      </w:r>
    </w:p>
    <w:p>
      <w:pPr>
        <w:pStyle w:val="ListBullet"/>
        <w:spacing w:after="50"/>
        <w:ind w:left="369" w:hanging="170"/>
      </w:pPr>
      <w:r>
        <w:rPr>
          <w:rFonts w:ascii="Aptos" w:hAnsi="Aptos"/>
          <w:b w:val="0"/>
          <w:color w:val="263442"/>
          <w:sz w:val="19"/>
        </w:rPr>
        <w:t>Permohonan pemeriksaan, senarai semak, rekod ukur, laporan ujian dan bukti kalibrasi.</w:t>
      </w:r>
    </w:p>
    <w:p>
      <w:pPr>
        <w:pStyle w:val="ListBullet"/>
        <w:spacing w:after="50"/>
        <w:ind w:left="369" w:hanging="170"/>
      </w:pPr>
      <w:r>
        <w:rPr>
          <w:rFonts w:ascii="Aptos" w:hAnsi="Aptos"/>
          <w:b w:val="0"/>
          <w:color w:val="263442"/>
          <w:sz w:val="19"/>
        </w:rPr>
        <w:t>Gambar, laporan harian, rekod ketidakpatuhan, maklumat as-built dan dokumen penyerahan.</w:t>
      </w:r>
    </w:p>
    <w:p>
      <w:pPr>
        <w:pStyle w:val="Heading1"/>
        <w:keepNext/>
        <w:spacing w:before="240" w:after="100"/>
      </w:pPr>
      <w:r>
        <w:rPr>
          <w:rFonts w:ascii="Aptos" w:hAnsi="Aptos"/>
          <w:b/>
          <w:color w:val="071E33"/>
          <w:sz w:val="28"/>
        </w:rPr>
        <w:t>LAMPIRAN A — SENARAI SEMAK SEBELUM KERJA</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567"/>
            <w:shd w:fill="071E33"/>
            <w:tcMar>
              <w:top w:w="120" w:type="dxa"/>
              <w:start w:w="140" w:type="dxa"/>
              <w:bottom w:w="120" w:type="dxa"/>
              <w:end w:w="140" w:type="dxa"/>
            </w:tcMar>
            <w:vAlign w:val="center"/>
          </w:tcPr>
          <w:p>
            <w:pPr>
              <w:spacing w:after="0"/>
              <w:jc w:val="left"/>
            </w:pPr>
            <w:r>
              <w:t>Bil.</w:t>
            </w:r>
            <w:r>
              <w:rPr>
                <w:rFonts w:ascii="Aptos" w:hAnsi="Aptos"/>
                <w:b/>
                <w:color w:val="FFFFFF"/>
                <w:sz w:val="17"/>
              </w:rPr>
            </w:r>
          </w:p>
        </w:tc>
        <w:tc>
          <w:tcPr>
            <w:tcW w:type="dxa" w:w="4762"/>
            <w:shd w:fill="071E33"/>
            <w:tcMar>
              <w:top w:w="120" w:type="dxa"/>
              <w:start w:w="140" w:type="dxa"/>
              <w:bottom w:w="120" w:type="dxa"/>
              <w:end w:w="140" w:type="dxa"/>
            </w:tcMar>
            <w:vAlign w:val="center"/>
          </w:tcPr>
          <w:p>
            <w:pPr>
              <w:spacing w:after="0"/>
              <w:jc w:val="left"/>
            </w:pPr>
            <w:r>
              <w:t>Pengesahan</w:t>
            </w:r>
            <w:r>
              <w:rPr>
                <w:rFonts w:ascii="Aptos" w:hAnsi="Aptos"/>
                <w:b/>
                <w:color w:val="FFFFFF"/>
                <w:sz w:val="17"/>
              </w:rPr>
            </w:r>
          </w:p>
        </w:tc>
        <w:tc>
          <w:tcPr>
            <w:tcW w:type="dxa" w:w="680"/>
            <w:shd w:fill="071E33"/>
            <w:tcMar>
              <w:top w:w="120" w:type="dxa"/>
              <w:start w:w="140" w:type="dxa"/>
              <w:bottom w:w="120" w:type="dxa"/>
              <w:end w:w="140" w:type="dxa"/>
            </w:tcMar>
            <w:vAlign w:val="center"/>
          </w:tcPr>
          <w:p>
            <w:pPr>
              <w:spacing w:after="0"/>
              <w:jc w:val="left"/>
            </w:pPr>
            <w:r>
              <w:t>Ya</w:t>
            </w:r>
            <w:r>
              <w:rPr>
                <w:rFonts w:ascii="Aptos" w:hAnsi="Aptos"/>
                <w:b/>
                <w:color w:val="FFFFFF"/>
                <w:sz w:val="17"/>
              </w:rPr>
            </w:r>
          </w:p>
        </w:tc>
        <w:tc>
          <w:tcPr>
            <w:tcW w:type="dxa" w:w="680"/>
            <w:shd w:fill="071E33"/>
            <w:tcMar>
              <w:top w:w="120" w:type="dxa"/>
              <w:start w:w="140" w:type="dxa"/>
              <w:bottom w:w="120" w:type="dxa"/>
              <w:end w:w="140" w:type="dxa"/>
            </w:tcMar>
            <w:vAlign w:val="center"/>
          </w:tcPr>
          <w:p>
            <w:pPr>
              <w:spacing w:after="0"/>
              <w:jc w:val="left"/>
            </w:pPr>
            <w:r>
              <w:t>Tidak</w:t>
            </w:r>
            <w:r>
              <w:rPr>
                <w:rFonts w:ascii="Aptos" w:hAnsi="Aptos"/>
                <w:b/>
                <w:color w:val="FFFFFF"/>
                <w:sz w:val="17"/>
              </w:rPr>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N/A</w:t>
            </w:r>
          </w:p>
        </w:tc>
        <w:tc>
          <w:tcPr>
            <w:tcW w:type="dxa" w:w="2268"/>
            <w:shd w:fill="071E33"/>
            <w:tcMar>
              <w:top w:w="120" w:type="dxa"/>
              <w:start w:w="140" w:type="dxa"/>
              <w:bottom w:w="120" w:type="dxa"/>
              <w:end w:w="140" w:type="dxa"/>
            </w:tcMar>
            <w:vAlign w:val="center"/>
          </w:tcPr>
          <w:p>
            <w:pPr>
              <w:spacing w:after="0"/>
              <w:jc w:val="left"/>
            </w:pPr>
            <w:r>
              <w:t>Catatan</w:t>
            </w:r>
            <w:r>
              <w:rPr>
                <w:rFonts w:ascii="Aptos" w:hAnsi="Aptos"/>
                <w:b/>
                <w:color w:val="FFFFFF"/>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1</w:t>
            </w:r>
          </w:p>
        </w:tc>
        <w:tc>
          <w:tcPr>
            <w:tcW w:type="dxa" w:w="4762"/>
            <w:tcMar>
              <w:top w:w="120" w:type="dxa"/>
              <w:start w:w="140" w:type="dxa"/>
              <w:bottom w:w="120" w:type="dxa"/>
              <w:end w:w="140" w:type="dxa"/>
            </w:tcMar>
            <w:vAlign w:val="center"/>
          </w:tcPr>
          <w:p>
            <w:pPr>
              <w:spacing w:after="0"/>
              <w:jc w:val="left"/>
            </w:pPr>
            <w:r>
              <w:t>Lukisan dan spesifikasi diluluskan tersedia</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2</w:t>
            </w:r>
          </w:p>
        </w:tc>
        <w:tc>
          <w:tcPr>
            <w:tcW w:type="dxa" w:w="4762"/>
            <w:shd w:fill="F4F7FA"/>
            <w:tcMar>
              <w:top w:w="120" w:type="dxa"/>
              <w:start w:w="140" w:type="dxa"/>
              <w:bottom w:w="120" w:type="dxa"/>
              <w:end w:w="140" w:type="dxa"/>
            </w:tcMar>
            <w:vAlign w:val="center"/>
          </w:tcPr>
          <w:p>
            <w:pPr>
              <w:spacing w:after="0"/>
              <w:jc w:val="left"/>
            </w:pPr>
            <w:r>
              <w:t>Penyerahan bahan dan sampel diluluskan</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3</w:t>
            </w:r>
          </w:p>
        </w:tc>
        <w:tc>
          <w:tcPr>
            <w:tcW w:type="dxa" w:w="4762"/>
            <w:tcMar>
              <w:top w:w="120" w:type="dxa"/>
              <w:start w:w="140" w:type="dxa"/>
              <w:bottom w:w="120" w:type="dxa"/>
              <w:end w:w="140" w:type="dxa"/>
            </w:tcMar>
            <w:vAlign w:val="center"/>
          </w:tcPr>
          <w:p>
            <w:pPr>
              <w:spacing w:after="0"/>
              <w:jc w:val="left"/>
            </w:pPr>
            <w:r>
              <w:t>Kawasan kerja dan trade terdahulu dilepaskan</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4</w:t>
            </w:r>
          </w:p>
        </w:tc>
        <w:tc>
          <w:tcPr>
            <w:tcW w:type="dxa" w:w="4762"/>
            <w:shd w:fill="F4F7FA"/>
            <w:tcMar>
              <w:top w:w="120" w:type="dxa"/>
              <w:start w:w="140" w:type="dxa"/>
              <w:bottom w:w="120" w:type="dxa"/>
              <w:end w:w="140" w:type="dxa"/>
            </w:tcMar>
            <w:vAlign w:val="center"/>
          </w:tcPr>
          <w:p>
            <w:pPr>
              <w:spacing w:after="0"/>
              <w:jc w:val="left"/>
            </w:pPr>
            <w:r>
              <w:t>Penilaian risiko dan permit sah</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5</w:t>
            </w:r>
          </w:p>
        </w:tc>
        <w:tc>
          <w:tcPr>
            <w:tcW w:type="dxa" w:w="4762"/>
            <w:tcMar>
              <w:top w:w="120" w:type="dxa"/>
              <w:start w:w="140" w:type="dxa"/>
              <w:bottom w:w="120" w:type="dxa"/>
              <w:end w:w="140" w:type="dxa"/>
            </w:tcMar>
            <w:vAlign w:val="center"/>
          </w:tcPr>
          <w:p>
            <w:pPr>
              <w:spacing w:after="0"/>
              <w:jc w:val="left"/>
            </w:pPr>
            <w:r>
              <w:t>Sumber, akses dan alat berkalibrasi tersedia</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6</w:t>
            </w:r>
          </w:p>
        </w:tc>
        <w:tc>
          <w:tcPr>
            <w:tcW w:type="dxa" w:w="4762"/>
            <w:shd w:fill="F4F7FA"/>
            <w:tcMar>
              <w:top w:w="120" w:type="dxa"/>
              <w:start w:w="140" w:type="dxa"/>
              <w:bottom w:w="120" w:type="dxa"/>
              <w:end w:w="140" w:type="dxa"/>
            </w:tcMar>
            <w:vAlign w:val="center"/>
          </w:tcPr>
          <w:p>
            <w:pPr>
              <w:spacing w:after="0"/>
              <w:jc w:val="left"/>
            </w:pPr>
            <w:r>
              <w:t>Hold point / witness point dan tempoh notis disahkan</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7</w:t>
            </w:r>
          </w:p>
        </w:tc>
        <w:tc>
          <w:tcPr>
            <w:tcW w:type="dxa" w:w="4762"/>
            <w:tcMar>
              <w:top w:w="120" w:type="dxa"/>
              <w:start w:w="140" w:type="dxa"/>
              <w:bottom w:w="120" w:type="dxa"/>
              <w:end w:w="140" w:type="dxa"/>
            </w:tcMar>
            <w:vAlign w:val="center"/>
          </w:tcPr>
          <w:p>
            <w:pPr>
              <w:spacing w:after="0"/>
              <w:jc w:val="left"/>
            </w:pPr>
            <w:r>
              <w:t>Interface dengan trade lain diselaraskan</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8</w:t>
            </w:r>
          </w:p>
        </w:tc>
        <w:tc>
          <w:tcPr>
            <w:tcW w:type="dxa" w:w="4762"/>
            <w:shd w:fill="F4F7FA"/>
            <w:tcMar>
              <w:top w:w="120" w:type="dxa"/>
              <w:start w:w="140" w:type="dxa"/>
              <w:bottom w:w="120" w:type="dxa"/>
              <w:end w:w="140" w:type="dxa"/>
            </w:tcMar>
            <w:vAlign w:val="center"/>
          </w:tcPr>
          <w:p>
            <w:pPr>
              <w:spacing w:after="0"/>
              <w:jc w:val="left"/>
            </w:pPr>
            <w:r>
              <w:t>Kawalan alam sekitar dan kecemasan tersedia</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LAMPIRAN B — PINDAAN KHUSUS PROJEK</w:t>
      </w:r>
    </w:p>
    <w:p>
      <w:r>
        <w:rPr>
          <w:rFonts w:ascii="Aptos" w:hAnsi="Aptos"/>
          <w:b w:val="0"/>
          <w:color w:val="263442"/>
          <w:sz w:val="19"/>
        </w:rPr>
        <w:t>Rekodkan setiap perubahan khusus projek yang dibuat pada template ini sebelum penyerahan.</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1417"/>
            <w:shd w:fill="071E33"/>
            <w:tcMar>
              <w:top w:w="120" w:type="dxa"/>
              <w:start w:w="140" w:type="dxa"/>
              <w:bottom w:w="120" w:type="dxa"/>
              <w:end w:w="140" w:type="dxa"/>
            </w:tcMar>
            <w:vAlign w:val="center"/>
          </w:tcPr>
          <w:p>
            <w:pPr>
              <w:spacing w:after="0"/>
              <w:jc w:val="left"/>
            </w:pPr>
            <w:r>
              <w:t>Seksyen</w:t>
            </w:r>
            <w:r>
              <w:rPr>
                <w:rFonts w:ascii="Aptos" w:hAnsi="Aptos"/>
                <w:b/>
                <w:color w:val="FFFFFF"/>
                <w:sz w:val="17"/>
              </w:rPr>
            </w:r>
          </w:p>
        </w:tc>
        <w:tc>
          <w:tcPr>
            <w:tcW w:type="dxa" w:w="4535"/>
            <w:shd w:fill="071E33"/>
            <w:tcMar>
              <w:top w:w="120" w:type="dxa"/>
              <w:start w:w="140" w:type="dxa"/>
              <w:bottom w:w="120" w:type="dxa"/>
              <w:end w:w="140" w:type="dxa"/>
            </w:tcMar>
            <w:vAlign w:val="center"/>
          </w:tcPr>
          <w:p>
            <w:pPr>
              <w:spacing w:after="0"/>
              <w:jc w:val="left"/>
            </w:pPr>
            <w:r>
              <w:t>Keperluan / perubahan khusus projek</w:t>
            </w:r>
            <w:r>
              <w:rPr>
                <w:rFonts w:ascii="Aptos" w:hAnsi="Aptos"/>
                <w:b/>
                <w:color w:val="FFFFFF"/>
                <w:sz w:val="17"/>
              </w:rPr>
            </w:r>
          </w:p>
        </w:tc>
        <w:tc>
          <w:tcPr>
            <w:tcW w:type="dxa" w:w="2268"/>
            <w:shd w:fill="071E33"/>
            <w:tcMar>
              <w:top w:w="120" w:type="dxa"/>
              <w:start w:w="140" w:type="dxa"/>
              <w:bottom w:w="120" w:type="dxa"/>
              <w:end w:w="140" w:type="dxa"/>
            </w:tcMar>
            <w:vAlign w:val="center"/>
          </w:tcPr>
          <w:p>
            <w:pPr>
              <w:spacing w:after="0"/>
              <w:jc w:val="left"/>
            </w:pPr>
            <w:r>
              <w:t>Sumber / rujukan</w:t>
            </w:r>
            <w:r>
              <w:rPr>
                <w:rFonts w:ascii="Aptos" w:hAnsi="Aptos"/>
                <w:b/>
                <w:color w:val="FFFFFF"/>
                <w:sz w:val="17"/>
              </w:rPr>
            </w:r>
          </w:p>
        </w:tc>
        <w:tc>
          <w:tcPr>
            <w:tcW w:type="dxa" w:w="1417"/>
            <w:shd w:fill="071E33"/>
            <w:tcMar>
              <w:top w:w="120" w:type="dxa"/>
              <w:start w:w="140" w:type="dxa"/>
              <w:bottom w:w="120" w:type="dxa"/>
              <w:end w:w="140" w:type="dxa"/>
            </w:tcMar>
            <w:vAlign w:val="center"/>
          </w:tcPr>
          <w:p>
            <w:pPr>
              <w:spacing w:after="0"/>
              <w:jc w:val="left"/>
            </w:pPr>
            <w:r>
              <w:t>Paraf</w:t>
            </w:r>
            <w:r>
              <w:rPr>
                <w:rFonts w:ascii="Aptos" w:hAnsi="Aptos"/>
                <w:b/>
                <w:color w:val="FFFFFF"/>
                <w:sz w:val="17"/>
              </w:rPr>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sectPr w:rsidR="00FC693F" w:rsidRPr="0006063C" w:rsidSect="00034616">
      <w:headerReference w:type="default" r:id="rId9"/>
      <w:footerReference w:type="default" r:id="rId10"/>
      <w:pgSz w:w="12240" w:h="15840"/>
      <w:pgMar w:top="935" w:right="1020" w:bottom="879" w:left="10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t>Template boleh diedit — semakan khusus projek diperlukan</w:t>
          </w:r>
          <w:r>
            <w:rPr>
              <w:rFonts w:ascii="Aptos" w:hAnsi="Aptos"/>
              <w:b w:val="0"/>
              <w:color w:val="5E6B78"/>
              <w:sz w:val="15"/>
            </w:rPr>
          </w:r>
        </w:p>
      </w:tc>
      <w:tc>
        <w:tcPr>
          <w:tcW w:type="dxa" w:w="4392"/>
          <w:tcMar>
            <w:top w:w="120" w:type="dxa"/>
            <w:start w:w="140" w:type="dxa"/>
            <w:bottom w:w="120" w:type="dxa"/>
            <w:end w:w="140" w:type="dxa"/>
          </w:tcMar>
          <w:vAlign w:val="center"/>
        </w:tcPr>
        <w:p>
          <w:pPr>
            <w:spacing w:after="0"/>
            <w:jc w:val="right"/>
          </w:pPr>
          <w:r>
            <w:t>Salinan Terkawal: Tidak</w:t>
          </w:r>
          <w:r>
            <w:rPr>
              <w:rFonts w:ascii="Aptos" w:hAnsi="Aptos"/>
              <w:b w:val="0"/>
              <w:color w:val="5E6B78"/>
              <w:sz w:val="15"/>
            </w:rPr>
          </w:r>
        </w:p>
      </w:tc>
    </w:tr>
  </w:tbl>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r>
            <w:rPr>
              <w:rFonts w:ascii="Aptos" w:hAnsi="Aptos"/>
              <w:b/>
              <w:color w:val="071E33"/>
              <w:sz w:val="18"/>
            </w:rPr>
            <w:t>METHOD STATEMENT HUB MALAYSIA</w:t>
          </w:r>
        </w:p>
      </w:tc>
      <w:tc>
        <w:tcPr>
          <w:tcW w:type="dxa" w:w="4392"/>
          <w:tcMar>
            <w:top w:w="120" w:type="dxa"/>
            <w:start w:w="140" w:type="dxa"/>
            <w:bottom w:w="120" w:type="dxa"/>
            <w:end w:w="140" w:type="dxa"/>
          </w:tcMar>
          <w:vAlign w:val="center"/>
        </w:tcPr>
        <w:p>
          <w:pPr>
            <w:spacing w:after="0"/>
            <w:jc w:val="right"/>
          </w:pPr>
          <w:r/>
          <w:r>
            <w:rPr>
              <w:rFonts w:ascii="Aptos" w:hAnsi="Aptos"/>
              <w:b/>
              <w:color w:val="F2A51A"/>
              <w:sz w:val="18"/>
            </w:rPr>
            <w:t>MS-DTC-010</w:t>
          </w:r>
        </w:p>
      </w:tc>
    </w:tr>
  </w:tbl>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80" w:line="269" w:lineRule="auto"/>
    </w:pPr>
    <w:rPr>
      <w:rFonts w:ascii="Aptos" w:hAnsi="Aptos"/>
      <w:sz w:val="19"/>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Penyata Kaedah – Sistem Pemadaman Kebakaran Agen Bersih</dc:title>
  <dc:subject>Template penyata kaedah pembinaan yang boleh diedit</dc:subject>
  <dc:creator>Method Statement Hub Malaysia</dc:creator>
  <cp:keywords>clean agent, gas suppression, data centre fire</cp:keywords>
  <dc:description>generated by python-docx</dc:description>
  <cp:lastModifiedBy/>
  <cp:revision>1</cp:revision>
  <dcterms:created xsi:type="dcterms:W3CDTF">2013-12-23T23:15:00Z</dcterms:created>
  <dcterms:modified xsi:type="dcterms:W3CDTF">2013-12-23T23:15:00Z</dcterms:modified>
  <cp:category/>
</cp:coreProperties>
</file>